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spacing w:line="276" w:lineRule="auto"/>
        <w:keepNext/>
      </w:pPr>
      <w:r>
        <w:rPr>
          <w:rFonts w:ascii="Georgia" w:hAnsi="Georgia"/>
          <w:b/>
          <w:color w:val="1A1A2E"/>
          <w:sz w:val="44"/>
        </w:rPr>
        <w:t>SEGURA v. UNIAPPARTMENT HOA</w:t>
      </w:r>
    </w:p>
    <w:p>
      <w:pPr>
        <w:jc w:val="center"/>
        <w:spacing w:line="276" w:lineRule="auto"/>
      </w:pPr>
      <w:r>
        <w:rPr>
          <w:rFonts w:ascii="Georgia" w:hAnsi="Georgia"/>
          <w:color w:val="C5A258"/>
          <w:sz w:val="28"/>
        </w:rPr>
        <w:t>Complete Legal Package — Document Guide</w:t>
      </w:r>
    </w:p>
    <w:p>
      <w:pPr>
        <w:jc w:val="center"/>
        <w:spacing w:line="276" w:lineRule="auto"/>
      </w:pPr>
      <w:r>
        <w:rPr>
          <w:color w:val="666666"/>
          <w:sz w:val="20"/>
        </w:rPr>
        <w:t>Prepared for Vince Caruso, Strategic Consultant</w:t>
      </w:r>
    </w:p>
    <w:p>
      <w:pPr>
        <w:spacing w:line="276" w:lineRule="auto"/>
      </w:pPr>
    </w:p>
    <w:p>
      <w:pPr>
        <w:spacing w:line="276" w:lineRule="auto"/>
        <w:keepNext/>
      </w:pPr>
      <w:r>
        <w:rPr>
          <w:rFonts w:ascii="Georgia" w:hAnsi="Georgia"/>
          <w:b/>
          <w:color w:val="1A1A2E"/>
          <w:sz w:val="26"/>
        </w:rPr>
        <w:t>THE CASE AT A GLANCE</w:t>
      </w:r>
    </w:p>
    <w:p>
      <w:pPr>
        <w:spacing w:line="276" w:lineRule="auto"/>
        <w:keepNext/>
      </w:pPr>
      <w:r>
        <w:rPr>
          <w:b/>
          <w:sz w:val="20"/>
        </w:rPr>
        <w:t xml:space="preserve">Client: </w:t>
      </w:r>
      <w:r>
        <w:rPr>
          <w:sz w:val="20"/>
        </w:rPr>
        <w:t>Jose Segura — Owner, Unit 208, 15516 Nordhoff St, North Hills, CA</w:t>
      </w:r>
    </w:p>
    <w:p>
      <w:pPr>
        <w:spacing w:line="276" w:lineRule="auto"/>
        <w:keepNext/>
      </w:pPr>
      <w:r>
        <w:rPr>
          <w:b/>
          <w:sz w:val="20"/>
        </w:rPr>
        <w:t xml:space="preserve">Opponent: </w:t>
      </w:r>
      <w:r>
        <w:rPr>
          <w:sz w:val="20"/>
        </w:rPr>
        <w:t>Uniappartment HOA (29 units) + California HOA Solutions LLC (BBB: F)</w:t>
      </w:r>
    </w:p>
    <w:p>
      <w:pPr>
        <w:spacing w:line="276" w:lineRule="auto"/>
        <w:keepNext/>
      </w:pPr>
      <w:r>
        <w:rPr>
          <w:b/>
          <w:sz w:val="20"/>
        </w:rPr>
        <w:t xml:space="preserve">Problem: </w:t>
      </w:r>
      <w:r>
        <w:rPr>
          <w:sz w:val="20"/>
        </w:rPr>
        <w:t>Leaking roof → mold at 3x levels → unit uninhabitable → tenant gone → $0 income</w:t>
      </w:r>
    </w:p>
    <w:p>
      <w:pPr>
        <w:spacing w:line="276" w:lineRule="auto"/>
        <w:keepNext/>
      </w:pPr>
      <w:r>
        <w:rPr>
          <w:b/>
          <w:sz w:val="20"/>
        </w:rPr>
        <w:t xml:space="preserve">HOA Response: </w:t>
      </w:r>
      <w:r>
        <w:rPr>
          <w:sz w:val="20"/>
        </w:rPr>
        <w:t>Voted 20-9 against repairs. Board has emergency authority. Refuses to use it.</w:t>
      </w:r>
    </w:p>
    <w:p>
      <w:pPr>
        <w:spacing w:line="276" w:lineRule="auto"/>
        <w:keepNext/>
      </w:pPr>
      <w:r>
        <w:rPr>
          <w:b/>
          <w:sz w:val="20"/>
        </w:rPr>
        <w:t xml:space="preserve">Precedent: </w:t>
      </w:r>
      <w:r>
        <w:rPr>
          <w:sz w:val="20"/>
        </w:rPr>
        <w:t>Ridley v. Rancho Palma Grande (2025) — $1.8M judgment on identical facts</w:t>
      </w:r>
    </w:p>
    <w:p>
      <w:pPr>
        <w:spacing w:line="276" w:lineRule="auto"/>
        <w:keepNext/>
      </w:pPr>
      <w:r>
        <w:rPr>
          <w:b/>
          <w:sz w:val="20"/>
        </w:rPr>
        <w:t xml:space="preserve">Estimated Recovery: </w:t>
      </w:r>
      <w:r>
        <w:rPr>
          <w:sz w:val="20"/>
        </w:rPr>
        <w:t>$152,000 – $802,000 (Jose alone) / up to $5.6M (all 9 owners)</w:t>
      </w:r>
    </w:p>
    <w:p>
      <w:pPr>
        <w:spacing w:line="276" w:lineRule="auto"/>
        <w:keepNext/>
      </w:pPr>
      <w:r>
        <w:rPr>
          <w:b/>
          <w:sz w:val="20"/>
        </w:rPr>
        <w:t xml:space="preserve">Critical Deadline: </w:t>
      </w:r>
      <w:r>
        <w:rPr>
          <w:sz w:val="20"/>
        </w:rPr>
        <w:t>Personal injury SOL expires ~April 27, 2027 (13 months)</w:t>
      </w:r>
    </w:p>
    <w:p>
      <w:pPr>
        <w:spacing w:line="276" w:lineRule="auto"/>
      </w:pPr>
    </w:p>
    <w:p>
      <w:pPr>
        <w:spacing w:line="276" w:lineRule="auto"/>
        <w:keepNext/>
      </w:pPr>
      <w:r>
        <w:rPr>
          <w:rFonts w:ascii="Georgia" w:hAnsi="Georgia"/>
          <w:b/>
          <w:color w:val="C5A258"/>
          <w:sz w:val="26"/>
        </w:rPr>
        <w:t>PHASE 1: UNDERSTAND THE CASE</w:t>
      </w:r>
    </w:p>
    <w:p>
      <w:pPr>
        <w:spacing w:line="276" w:lineRule="auto"/>
      </w:pPr>
      <w:r>
        <w:rPr>
          <w:i/>
          <w:color w:val="666666"/>
          <w:sz w:val="20"/>
        </w:rPr>
        <w:t>Read these first to understand what happened and the plan.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04: </w:t>
      </w:r>
      <w:r>
        <w:rPr>
          <w:b/>
          <w:color w:val="1A1A2E"/>
          <w:sz w:val="20"/>
        </w:rPr>
        <w:t>Chronological Timeline</w:t>
      </w:r>
      <w:r>
        <w:rPr>
          <w:sz w:val="20"/>
        </w:rPr>
        <w:t xml:space="preserve"> — Every event with dates, evidence, and legal significance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05: </w:t>
      </w:r>
      <w:r>
        <w:rPr>
          <w:b/>
          <w:color w:val="1A1A2E"/>
          <w:sz w:val="20"/>
        </w:rPr>
        <w:t>Strategic Litigation Plan</w:t>
      </w:r>
      <w:r>
        <w:rPr>
          <w:sz w:val="20"/>
        </w:rPr>
        <w:t xml:space="preserve"> — 3-phase approach: Demand → ADR → Litigation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08: </w:t>
      </w:r>
      <w:r>
        <w:rPr>
          <w:b/>
          <w:color w:val="1A1A2E"/>
          <w:sz w:val="20"/>
        </w:rPr>
        <w:t>Case Architecture Visual</w:t>
      </w:r>
      <w:r>
        <w:rPr>
          <w:sz w:val="20"/>
        </w:rPr>
        <w:t xml:space="preserve"> — Interactive map of defendants, damage chain, and SOL deadlines</w:t>
      </w:r>
    </w:p>
    <w:p>
      <w:pPr>
        <w:spacing w:line="276" w:lineRule="auto"/>
      </w:pPr>
    </w:p>
    <w:p>
      <w:pPr>
        <w:spacing w:line="276" w:lineRule="auto"/>
        <w:keepNext/>
      </w:pPr>
      <w:r>
        <w:rPr>
          <w:rFonts w:ascii="Georgia" w:hAnsi="Georgia"/>
          <w:b/>
          <w:color w:val="C5A258"/>
          <w:sz w:val="26"/>
        </w:rPr>
        <w:t>PHASE 2: DEMAND ACTION (Send Immediately)</w:t>
      </w:r>
    </w:p>
    <w:p>
      <w:pPr>
        <w:spacing w:line="276" w:lineRule="auto"/>
      </w:pPr>
      <w:r>
        <w:rPr>
          <w:i/>
          <w:color w:val="666666"/>
          <w:sz w:val="20"/>
        </w:rPr>
        <w:t>These go out Day 1 via certified mail to the HOA, management company, and Joshua Ochoa.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01: </w:t>
      </w:r>
      <w:r>
        <w:rPr>
          <w:b/>
          <w:color w:val="1A1A2E"/>
          <w:sz w:val="20"/>
        </w:rPr>
        <w:t>Demand Letter</w:t>
      </w:r>
      <w:r>
        <w:rPr>
          <w:sz w:val="20"/>
        </w:rPr>
        <w:t xml:space="preserve"> — 15-day deadline. Settlement offer. SB 900 citation. Insurance tender. IDR request.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02: </w:t>
      </w:r>
      <w:r>
        <w:rPr>
          <w:b/>
          <w:color w:val="1A1A2E"/>
          <w:sz w:val="20"/>
        </w:rPr>
        <w:t>Section 5200 Document Demand</w:t>
      </w:r>
      <w:r>
        <w:rPr>
          <w:sz w:val="20"/>
        </w:rPr>
        <w:t xml:space="preserve"> — Forces HOA to produce all records within 5-10 days. Evidence preservation. $3,500 in penalties if they refuse.</w:t>
      </w:r>
    </w:p>
    <w:p>
      <w:pPr>
        <w:spacing w:line="276" w:lineRule="auto"/>
      </w:pPr>
    </w:p>
    <w:p>
      <w:pPr>
        <w:spacing w:line="276" w:lineRule="auto"/>
        <w:keepNext/>
      </w:pPr>
      <w:r>
        <w:rPr>
          <w:rFonts w:ascii="Georgia" w:hAnsi="Georgia"/>
          <w:b/>
          <w:color w:val="C5A258"/>
          <w:sz w:val="26"/>
        </w:rPr>
        <w:t>PHASE 3: PREPARE FOR BATTLE (While Waiting for Response)</w:t>
      </w:r>
    </w:p>
    <w:p>
      <w:pPr>
        <w:spacing w:line="276" w:lineRule="auto"/>
      </w:pPr>
      <w:r>
        <w:rPr>
          <w:i/>
          <w:color w:val="666666"/>
          <w:sz w:val="20"/>
        </w:rPr>
        <w:t>Jose does this during the 15-day demand window.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06: </w:t>
      </w:r>
      <w:r>
        <w:rPr>
          <w:b/>
          <w:color w:val="1A1A2E"/>
          <w:sz w:val="20"/>
        </w:rPr>
        <w:t>Evidence Preservation Checklist</w:t>
      </w:r>
      <w:r>
        <w:rPr>
          <w:sz w:val="20"/>
        </w:rPr>
        <w:t xml:space="preserve"> — 100+ photos, medical eval, asbestos test, financial tracker, insurance claim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07: </w:t>
      </w:r>
      <w:r>
        <w:rPr>
          <w:b/>
          <w:color w:val="1A1A2E"/>
          <w:sz w:val="20"/>
        </w:rPr>
        <w:t>Neighbor Recruitment Notice</w:t>
      </w:r>
      <w:r>
        <w:rPr>
          <w:sz w:val="20"/>
        </w:rPr>
        <w:t xml:space="preserve"> — Letter to other 8 affected owners inviting them to join. Anti-SLAPP protected.</w:t>
      </w:r>
    </w:p>
    <w:p>
      <w:pPr>
        <w:spacing w:line="276" w:lineRule="auto"/>
      </w:pPr>
    </w:p>
    <w:p>
      <w:pPr>
        <w:spacing w:line="276" w:lineRule="auto"/>
        <w:keepNext/>
      </w:pPr>
      <w:r>
        <w:rPr>
          <w:rFonts w:ascii="Georgia" w:hAnsi="Georgia"/>
          <w:b/>
          <w:color w:val="C5A258"/>
          <w:sz w:val="26"/>
        </w:rPr>
        <w:t>PHASE 4: ESCALATE (If No Response After 15 Days)</w:t>
      </w:r>
    </w:p>
    <w:p>
      <w:pPr>
        <w:spacing w:line="276" w:lineRule="auto"/>
      </w:pPr>
      <w:r>
        <w:rPr>
          <w:i/>
          <w:color w:val="666666"/>
          <w:sz w:val="20"/>
        </w:rPr>
        <w:t>Multi-front pressure campaign. File all simultaneously.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13: </w:t>
      </w:r>
      <w:r>
        <w:rPr>
          <w:b/>
          <w:color w:val="1A1A2E"/>
          <w:sz w:val="20"/>
        </w:rPr>
        <w:t>BBB Complaint — HOA</w:t>
      </w:r>
      <w:r>
        <w:rPr>
          <w:sz w:val="20"/>
        </w:rPr>
        <w:t xml:space="preserve"> — Formal complaint against Uniappartment Homeowners Association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14: </w:t>
      </w:r>
      <w:r>
        <w:rPr>
          <w:b/>
          <w:color w:val="1A1A2E"/>
          <w:sz w:val="20"/>
        </w:rPr>
        <w:t>BBB Complaint — Management Co</w:t>
      </w:r>
      <w:r>
        <w:rPr>
          <w:sz w:val="20"/>
        </w:rPr>
        <w:t xml:space="preserve"> — Formal complaint against California HOA Solutions LLC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15: </w:t>
      </w:r>
      <w:r>
        <w:rPr>
          <w:b/>
          <w:color w:val="1A1A2E"/>
          <w:sz w:val="20"/>
        </w:rPr>
        <w:t>Regulatory Complaints Package</w:t>
      </w:r>
      <w:r>
        <w:rPr>
          <w:sz w:val="20"/>
        </w:rPr>
        <w:t xml:space="preserve"> — 4 pre-drafted complaints: LA County Health, City Housing, LADBS, CA Attorney General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16: </w:t>
      </w:r>
      <w:r>
        <w:rPr>
          <w:b/>
          <w:color w:val="1A1A2E"/>
          <w:sz w:val="20"/>
        </w:rPr>
        <w:t>Media Pitch</w:t>
      </w:r>
      <w:r>
        <w:rPr>
          <w:sz w:val="20"/>
        </w:rPr>
        <w:t xml:space="preserve"> — Press inquiry ready for KABC, LA Times, local news. "20 Neighbors Vote to Leave 9 Families Under Moldy Roof"</w:t>
      </w:r>
    </w:p>
    <w:p>
      <w:pPr>
        <w:spacing w:line="276" w:lineRule="auto"/>
      </w:pPr>
    </w:p>
    <w:p>
      <w:pPr>
        <w:spacing w:line="276" w:lineRule="auto"/>
        <w:keepNext/>
      </w:pPr>
      <w:r>
        <w:rPr>
          <w:rFonts w:ascii="Georgia" w:hAnsi="Georgia"/>
          <w:b/>
          <w:color w:val="C5A258"/>
          <w:sz w:val="26"/>
        </w:rPr>
        <w:t>PHASE 5: LITIGATE (If All Else Fails)</w:t>
      </w:r>
    </w:p>
    <w:p>
      <w:pPr>
        <w:spacing w:line="276" w:lineRule="auto"/>
      </w:pPr>
      <w:r>
        <w:rPr>
          <w:i/>
          <w:color w:val="666666"/>
          <w:sz w:val="20"/>
        </w:rPr>
        <w:t>File in LA County Superior Court. Serve discovery with the complaint.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03: </w:t>
      </w:r>
      <w:r>
        <w:rPr>
          <w:b/>
          <w:color w:val="1A1A2E"/>
          <w:sz w:val="20"/>
        </w:rPr>
        <w:t>Verified Complaint</w:t>
      </w:r>
      <w:r>
        <w:rPr>
          <w:sz w:val="20"/>
        </w:rPr>
        <w:t xml:space="preserve"> — 11 causes of action. Punitive damages. Injunctive relief. Jury demand. Double-spaced for court.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09: </w:t>
      </w:r>
      <w:r>
        <w:rPr>
          <w:b/>
          <w:color w:val="1A1A2E"/>
          <w:sz w:val="20"/>
        </w:rPr>
        <w:t>Requests for Admission (43)</w:t>
      </w:r>
      <w:r>
        <w:rPr>
          <w:sz w:val="20"/>
        </w:rPr>
        <w:t xml:space="preserve"> — Forces HOA to admit or deny every critical fact. Deemed admitted if no response in 30 days.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10: </w:t>
      </w:r>
      <w:r>
        <w:rPr>
          <w:b/>
          <w:color w:val="1A1A2E"/>
          <w:sz w:val="20"/>
        </w:rPr>
        <w:t>Interrogatories (26)</w:t>
      </w:r>
      <w:r>
        <w:rPr>
          <w:sz w:val="20"/>
        </w:rPr>
        <w:t xml:space="preserve"> — Demands answers under oath about roof, vote, mold, insurance, reserves.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11: </w:t>
      </w:r>
      <w:r>
        <w:rPr>
          <w:b/>
          <w:color w:val="1A1A2E"/>
          <w:sz w:val="20"/>
        </w:rPr>
        <w:t>Requests for Production (20)</w:t>
      </w:r>
      <w:r>
        <w:rPr>
          <w:sz w:val="20"/>
        </w:rPr>
        <w:t xml:space="preserve"> — Demands all documents: board minutes, insurance, bids, communications.</w:t>
      </w:r>
    </w:p>
    <w:p>
      <w:pPr>
        <w:spacing w:line="276" w:lineRule="auto"/>
        <w:keepNext/>
      </w:pPr>
      <w:r>
        <w:rPr>
          <w:b/>
          <w:sz w:val="20"/>
        </w:rPr>
        <w:t xml:space="preserve">  Document 12: </w:t>
      </w:r>
      <w:r>
        <w:rPr>
          <w:b/>
          <w:color w:val="1A1A2E"/>
          <w:sz w:val="20"/>
        </w:rPr>
        <w:t>Deposition Notices (4)</w:t>
      </w:r>
      <w:r>
        <w:rPr>
          <w:sz w:val="20"/>
        </w:rPr>
        <w:t xml:space="preserve"> — Depositions of PMK, Joshua Ochoa, Sabawoon Shewa, and board members.</w:t>
      </w:r>
    </w:p>
    <w:p>
      <w:pPr>
        <w:spacing w:line="276" w:lineRule="auto"/>
      </w:pPr>
    </w:p>
    <w:p>
      <w:pPr>
        <w:spacing w:line="276" w:lineRule="auto"/>
      </w:pPr>
    </w:p>
    <w:p>
      <w:pPr>
        <w:jc w:val="center"/>
        <w:spacing w:line="276" w:lineRule="auto"/>
      </w:pPr>
      <w:r>
        <w:rPr>
          <w:color w:val="999999"/>
          <w:sz w:val="18"/>
        </w:rPr>
        <w:t>Prepared by Genesis Strategic Advisory | Day 7 PBC | Confidential</w:t>
      </w:r>
    </w:p>
    <w:sectPr w:rsidR="00FC693F" w:rsidRPr="0006063C" w:rsidSect="00034616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