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2400" w:line="276" w:lineRule="auto"/>
      </w:pPr>
    </w:p>
    <w:p>
      <w:pPr>
        <w:spacing w:after="120" w:before="0" w:line="276" w:lineRule="auto"/>
        <w:jc w:val="center"/>
        <w:keepNext/>
      </w:pPr>
      <w:r>
        <w:rPr>
          <w:rFonts w:ascii="Times New Roman" w:cs="Times New Roman" w:eastAsia="Times New Roman" w:hAnsi="Times New Roman"/>
          <w:b/>
          <w:bCs/>
          <w:i w:val="false"/>
          <w:iCs w:val="false"/>
          <w:sz w:val="36"/>
          <w:szCs w:val="36"/>
        </w:rPr>
        <w:t xml:space="preserve">DEMAND LETTER AND NOTICE OF LEGAL CLAIMS</w:t>
      </w:r>
    </w:p>
    <w:p>
      <w:pPr>
        <w:spacing w:after="120" w:before="0" w:line="276" w:lineRule="auto"/>
        <w:jc w:val="center"/>
        <w:keepNext/>
      </w:pPr>
      <w:r>
        <w:rPr>
          <w:rFonts w:ascii="Times New Roman" w:cs="Times New Roman" w:eastAsia="Times New Roman" w:hAnsi="Times New Roman"/>
          <w:b/>
          <w:bCs/>
          <w:i w:val="false"/>
          <w:iCs w:val="false"/>
          <w:sz w:val="28"/>
          <w:szCs w:val="28"/>
        </w:rPr>
        <w:t xml:space="preserve">WITH SETTLEMENT OPPORTUNITY</w:t>
      </w:r>
    </w:p>
    <w:p>
      <w:pPr>
        <w:spacing w:after="400" w:before="0" w:line="276" w:lineRule="auto"/>
        <w:jc w:val="center"/>
        <w:keepNext/>
      </w:pPr>
      <w:r>
        <w:rPr>
          <w:rFonts w:ascii="Times New Roman" w:cs="Times New Roman" w:eastAsia="Times New Roman" w:hAnsi="Times New Roman"/>
          <w:b/>
          <w:bCs/>
          <w:i w:val="false"/>
          <w:iCs w:val="false"/>
          <w:sz w:val="28"/>
          <w:szCs w:val="28"/>
        </w:rPr>
        <w:t xml:space="preserve">AND REQUEST FOR INTERNAL DISPUTE RESOLUTION</w:t>
      </w:r>
    </w:p>
    <w:p>
      <w:pPr>
        <w:pBdr>
          <w:bottom w:val="single" w:color="000000" w:sz="6" w:space="1"/>
        </w:pBdr>
        <w:spacing w:after="300" w:line="276" w:lineRule="auto"/>
      </w:pPr>
    </w:p>
    <w:p>
      <w:pPr>
        <w:spacing w:after="80" w:before="0" w:line="276" w:lineRule="auto"/>
        <w:jc w:val="center"/>
      </w:pPr>
      <w:r>
        <w:rPr>
          <w:rFonts w:ascii="Times New Roman" w:cs="Times New Roman" w:eastAsia="Times New Roman" w:hAnsi="Times New Roman"/>
          <w:b w:val="false"/>
          <w:bCs w:val="false"/>
          <w:i w:val="false"/>
          <w:iCs w:val="false"/>
          <w:sz w:val="28"/>
          <w:szCs w:val="28"/>
        </w:rPr>
        <w:t xml:space="preserve">Jose Segura, Owner of Record, Unit 208</w:t>
      </w:r>
    </w:p>
    <w:p>
      <w:pPr>
        <w:spacing w:after="400" w:before="0" w:line="276" w:lineRule="auto"/>
        <w:jc w:val="center"/>
      </w:pPr>
      <w:r>
        <w:rPr>
          <w:rFonts w:ascii="Times New Roman" w:cs="Times New Roman" w:eastAsia="Times New Roman" w:hAnsi="Times New Roman"/>
          <w:b w:val="false"/>
          <w:bCs w:val="false"/>
          <w:i w:val="false"/>
          <w:iCs w:val="false"/>
          <w:sz w:val="24"/>
          <w:szCs w:val="24"/>
        </w:rPr>
        <w:t xml:space="preserve">15516 Nordhoff Street, North Hills, California 91343</w:t>
      </w:r>
    </w:p>
    <w:p>
      <w:pPr>
        <w:spacing w:after="80" w:before="0" w:line="276" w:lineRule="auto"/>
        <w:jc w:val="center"/>
        <w:keepNext/>
      </w:pPr>
      <w:r>
        <w:rPr>
          <w:rFonts w:ascii="Times New Roman" w:cs="Times New Roman" w:eastAsia="Times New Roman" w:hAnsi="Times New Roman"/>
          <w:b/>
          <w:bCs/>
          <w:i w:val="false"/>
          <w:iCs w:val="false"/>
          <w:sz w:val="24"/>
          <w:szCs w:val="24"/>
        </w:rPr>
        <w:t xml:space="preserve">Directed To:</w:t>
      </w:r>
    </w:p>
    <w:p>
      <w:pPr>
        <w:spacing w:after="40" w:before="0" w:line="276" w:lineRule="auto"/>
        <w:jc w:val="center"/>
      </w:pPr>
      <w:r>
        <w:rPr>
          <w:rFonts w:ascii="Times New Roman" w:cs="Times New Roman" w:eastAsia="Times New Roman" w:hAnsi="Times New Roman"/>
          <w:b w:val="false"/>
          <w:bCs w:val="false"/>
          <w:i w:val="false"/>
          <w:iCs w:val="false"/>
          <w:sz w:val="24"/>
          <w:szCs w:val="24"/>
        </w:rPr>
        <w:t xml:space="preserve">Uniappartment Homeowners Association</w:t>
      </w:r>
    </w:p>
    <w:p>
      <w:pPr>
        <w:spacing w:after="40" w:before="0" w:line="276" w:lineRule="auto"/>
        <w:jc w:val="center"/>
      </w:pPr>
      <w:r>
        <w:rPr>
          <w:rFonts w:ascii="Times New Roman" w:cs="Times New Roman" w:eastAsia="Times New Roman" w:hAnsi="Times New Roman"/>
          <w:b w:val="false"/>
          <w:bCs w:val="false"/>
          <w:i w:val="false"/>
          <w:iCs w:val="false"/>
          <w:sz w:val="24"/>
          <w:szCs w:val="24"/>
        </w:rPr>
        <w:t xml:space="preserve">Board of Directors</w:t>
      </w:r>
    </w:p>
    <w:p>
      <w:pPr>
        <w:spacing w:after="400" w:before="0" w:line="276" w:lineRule="auto"/>
        <w:jc w:val="center"/>
      </w:pPr>
      <w:r>
        <w:rPr>
          <w:rFonts w:ascii="Times New Roman" w:cs="Times New Roman" w:eastAsia="Times New Roman" w:hAnsi="Times New Roman"/>
          <w:b w:val="false"/>
          <w:bCs w:val="false"/>
          <w:i w:val="false"/>
          <w:iCs w:val="false"/>
          <w:sz w:val="24"/>
          <w:szCs w:val="24"/>
        </w:rPr>
        <w:t xml:space="preserve">California HOA Solutions LLC</w:t>
      </w:r>
    </w:p>
    <w:p>
      <w:pPr>
        <w:spacing w:after="200" w:before="0" w:line="276" w:lineRule="auto"/>
        <w:jc w:val="center"/>
        <w:keepNext/>
      </w:pPr>
      <w:r>
        <w:rPr>
          <w:rFonts w:ascii="Times New Roman" w:cs="Times New Roman" w:eastAsia="Times New Roman" w:hAnsi="Times New Roman"/>
          <w:b/>
          <w:bCs/>
          <w:sz w:val="24"/>
          <w:szCs w:val="24"/>
        </w:rPr>
        <w:t xml:space="preserve">Date: </w:t>
      </w:r>
      <w:r>
        <w:rPr>
          <w:rFonts w:ascii="Times New Roman" w:cs="Times New Roman" w:eastAsia="Times New Roman" w:hAnsi="Times New Roman"/>
          <w:sz w:val="24"/>
          <w:szCs w:val="24"/>
        </w:rPr>
        <w:t xml:space="preserve">March __, 2026</w:t>
      </w:r>
    </w:p>
    <w:p>
      <w:pPr>
        <w:spacing w:after="40" w:before="0" w:line="276" w:lineRule="auto"/>
        <w:jc w:val="center"/>
        <w:keepNext/>
      </w:pPr>
      <w:r>
        <w:rPr>
          <w:rFonts w:ascii="Times New Roman" w:cs="Times New Roman" w:eastAsia="Times New Roman" w:hAnsi="Times New Roman"/>
          <w:b/>
          <w:bCs/>
          <w:sz w:val="24"/>
          <w:szCs w:val="24"/>
        </w:rPr>
        <w:t xml:space="preserve">Sent Via: </w:t>
      </w:r>
      <w:r>
        <w:rPr>
          <w:rFonts w:ascii="Times New Roman" w:cs="Times New Roman" w:eastAsia="Times New Roman" w:hAnsi="Times New Roman"/>
          <w:sz w:val="24"/>
          <w:szCs w:val="24"/>
        </w:rPr>
        <w:t xml:space="preserve">Certified Mail, Return Receipt Requested</w:t>
      </w:r>
    </w:p>
    <w:p>
      <w:pPr>
        <w:spacing w:after="800" w:before="0" w:line="276" w:lineRule="auto"/>
        <w:jc w:val="center"/>
      </w:pPr>
      <w:r>
        <w:rPr>
          <w:rFonts w:ascii="Times New Roman" w:cs="Times New Roman" w:eastAsia="Times New Roman" w:hAnsi="Times New Roman"/>
          <w:b w:val="false"/>
          <w:bCs w:val="false"/>
          <w:i w:val="false"/>
          <w:iCs w:val="false"/>
          <w:sz w:val="24"/>
          <w:szCs w:val="24"/>
        </w:rPr>
        <w:t xml:space="preserve">AND Email to josh@cahoasolutions.com</w:t>
      </w:r>
    </w:p>
    <w:p>
      <w:pPr>
        <w:spacing w:after="200" w:before="0" w:line="276" w:lineRule="auto"/>
        <w:jc w:val="center"/>
      </w:pPr>
      <w:r>
        <w:rPr>
          <w:rFonts w:ascii="Times New Roman" w:cs="Times New Roman" w:eastAsia="Times New Roman" w:hAnsi="Times New Roman"/>
          <w:i/>
          <w:iCs/>
          <w:sz w:val="20"/>
          <w:szCs w:val="20"/>
        </w:rPr>
        <w:t xml:space="preserve">This demand letter contains a settlement opportunity that, if accepted, will resolve all claims without litigation. It also contains a formal Request for Internal Dispute Resolution pursuant to Civil Code Section 5910. The Association is strongly encouraged to consult with legal counsel immediately upon receipt.</w:t>
      </w:r>
    </w:p>
    <w:p>
      <w:pPr>
        <w:spacing w:line="276" w:lineRule="auto"/>
      </w:pPr>
      <w:r>
        <w:br w:type="page"/>
      </w:r>
    </w:p>
    <w:p>
      <w:pPr>
        <w:spacing w:before="480" w:after="240" w:line="276" w:lineRule="auto"/>
        <w:jc w:val="center"/>
        <w:keepNext/>
      </w:pPr>
      <w:r>
        <w:rPr>
          <w:rFonts w:ascii="Times New Roman" w:cs="Times New Roman" w:eastAsia="Times New Roman" w:hAnsi="Times New Roman"/>
          <w:b/>
          <w:bCs/>
          <w:sz w:val="28"/>
          <w:szCs w:val="28"/>
        </w:rPr>
        <w:t xml:space="preserve">PART I: A PATH TO RESOLUTION</w:t>
      </w:r>
    </w:p>
    <w:p>
      <w:pPr>
        <w:spacing w:after="200" w:before="0" w:line="276" w:lineRule="auto"/>
        <w:jc w:val="both"/>
      </w:pPr>
      <w:r>
        <w:rPr>
          <w:rFonts w:ascii="Times New Roman" w:cs="Times New Roman" w:eastAsia="Times New Roman" w:hAnsi="Times New Roman"/>
          <w:b w:val="false"/>
          <w:bCs w:val="false"/>
          <w:i w:val="false"/>
          <w:iCs w:val="false"/>
          <w:sz w:val="24"/>
          <w:szCs w:val="24"/>
        </w:rPr>
        <w:t xml:space="preserve">Dear Members of the Board of Directors:</w:t>
      </w:r>
    </w:p>
    <w:p>
      <w:pPr>
        <w:spacing w:after="200" w:before="0" w:line="276" w:lineRule="auto"/>
        <w:jc w:val="both"/>
        <w:keepNext/>
      </w:pPr>
      <w:r>
        <w:rPr>
          <w:rFonts w:ascii="Times New Roman" w:cs="Times New Roman" w:eastAsia="Times New Roman" w:hAnsi="Times New Roman"/>
          <w:sz w:val="24"/>
          <w:szCs w:val="24"/>
        </w:rPr>
        <w:t xml:space="preserve">I am writing to you not as an adversary, but as a fellow homeowner and neighbor who is asking the Association to do what the law, the CC&amp;Rs, and basic decency require: </w:t>
      </w:r>
      <w:r>
        <w:rPr>
          <w:rFonts w:ascii="Times New Roman" w:cs="Times New Roman" w:eastAsia="Times New Roman" w:hAnsi="Times New Roman"/>
          <w:b/>
          <w:bCs/>
          <w:sz w:val="24"/>
          <w:szCs w:val="24"/>
        </w:rPr>
        <w:t xml:space="preserve">fix the roof that is destroying my home and threatening my health.</w:t>
      </w:r>
    </w:p>
    <w:p>
      <w:pPr>
        <w:spacing w:after="200" w:before="0" w:line="276" w:lineRule="auto"/>
        <w:jc w:val="both"/>
      </w:pPr>
      <w:r>
        <w:rPr>
          <w:rFonts w:ascii="Times New Roman" w:cs="Times New Roman" w:eastAsia="Times New Roman" w:hAnsi="Times New Roman"/>
          <w:b w:val="false"/>
          <w:bCs w:val="false"/>
          <w:i w:val="false"/>
          <w:iCs w:val="false"/>
          <w:sz w:val="24"/>
          <w:szCs w:val="24"/>
        </w:rPr>
        <w:t xml:space="preserve">I have been a responsible, dues-paying member of this community. I have maintained my unit in good condition. I have paid my assessments. I have been a good neighbor. All I am asking is that the Association fulfill its most fundamental obligation — maintaining the building’s roof, which is indisputably a common area under our CC&amp;Rs and California law.</w:t>
      </w:r>
    </w:p>
    <w:p>
      <w:pPr>
        <w:spacing w:before="360" w:after="200" w:line="276" w:lineRule="auto"/>
        <w:jc w:val="left"/>
        <w:keepNext/>
      </w:pPr>
      <w:r>
        <w:rPr>
          <w:rFonts w:ascii="Times New Roman" w:cs="Times New Roman" w:eastAsia="Times New Roman" w:hAnsi="Times New Roman"/>
          <w:b/>
          <w:bCs/>
          <w:sz w:val="28"/>
          <w:szCs w:val="28"/>
          <w:u w:val="single"/>
        </w:rPr>
        <w:t xml:space="preserve">What Has Happened</w:t>
      </w:r>
    </w:p>
    <w:p>
      <w:pPr>
        <w:spacing w:after="200" w:before="0" w:line="276" w:lineRule="auto"/>
        <w:jc w:val="both"/>
      </w:pPr>
      <w:r>
        <w:rPr>
          <w:rFonts w:ascii="Times New Roman" w:cs="Times New Roman" w:eastAsia="Times New Roman" w:hAnsi="Times New Roman"/>
          <w:b w:val="false"/>
          <w:bCs w:val="false"/>
          <w:i w:val="false"/>
          <w:iCs w:val="false"/>
          <w:sz w:val="24"/>
          <w:szCs w:val="24"/>
        </w:rPr>
        <w:t xml:space="preserve">Water has been coming through the roof and into my unit every time it rains. This is not a minor inconvenience or a small drip. The water intrusion has caused extensive damage to my ceilings — in the hallway, master bedroom, second bedroom, dining room, living room, and kitchen. Visible mold has developed on the ceiling surfaces, particularly near the HVAC closet. I can see it. I can smell it.</w:t>
      </w:r>
    </w:p>
    <w:p>
      <w:pPr>
        <w:spacing w:after="200" w:before="0" w:line="276" w:lineRule="auto"/>
        <w:jc w:val="both"/>
        <w:keepNext/>
      </w:pPr>
      <w:r>
        <w:rPr>
          <w:rFonts w:ascii="Times New Roman" w:cs="Times New Roman" w:eastAsia="Times New Roman" w:hAnsi="Times New Roman"/>
          <w:sz w:val="24"/>
          <w:szCs w:val="24"/>
        </w:rPr>
        <w:t xml:space="preserve">On April 27, 2025, I hired a licensed, accredited environmental testing company — LA Testing (AIHA-EMLAP Accredited Lab #102814, EMSL Order #322508477) — to conduct professional air quality sampling and surface mold assessment of my unit. The results, prepared by Laboratory Manager Feng Liang and issued on May 1, 2025, confirmed what I could already see and smell: </w:t>
      </w:r>
      <w:r>
        <w:rPr>
          <w:rFonts w:ascii="Times New Roman" w:cs="Times New Roman" w:eastAsia="Times New Roman" w:hAnsi="Times New Roman"/>
          <w:b/>
          <w:bCs/>
          <w:sz w:val="24"/>
          <w:szCs w:val="24"/>
        </w:rPr>
        <w:t xml:space="preserve">my unit has significantly elevated mold contamination.</w:t>
      </w:r>
      <w:r>
        <w:rPr>
          <w:rFonts w:ascii="Times New Roman" w:cs="Times New Roman" w:eastAsia="Times New Roman" w:hAnsi="Times New Roman"/>
          <w:sz w:val="24"/>
          <w:szCs w:val="24"/>
        </w:rPr>
        <w:t xml:space="preserve"> Specifically:</w:t>
      </w:r>
    </w:p>
    <w:p>
      <w:pPr>
        <w:spacing w:after="200" w:before="0" w:line="276" w:lineRule="auto"/>
        <w:ind w:left="720"/>
        <w:jc w:val="both"/>
        <w:keepNext/>
      </w:pPr>
      <w:r>
        <w:rPr>
          <w:rFonts w:ascii="Times New Roman" w:cs="Times New Roman" w:eastAsia="Times New Roman" w:hAnsi="Times New Roman"/>
          <w:b/>
          <w:bCs/>
          <w:sz w:val="24"/>
          <w:szCs w:val="24"/>
        </w:rPr>
        <w:t xml:space="preserve">Aspergillus/Penicillium spore concentration: 790 count/m³ indoors (Hallway HVAC Closet) versus 260 count/m³ outdoors (Outside Baseline)</w:t>
      </w:r>
      <w:r>
        <w:rPr>
          <w:rFonts w:ascii="Times New Roman" w:cs="Times New Roman" w:eastAsia="Times New Roman" w:hAnsi="Times New Roman"/>
          <w:sz w:val="24"/>
          <w:szCs w:val="24"/>
        </w:rPr>
        <w:t xml:space="preserve"> — approximately </w:t>
      </w:r>
      <w:r>
        <w:rPr>
          <w:rFonts w:ascii="Times New Roman" w:cs="Times New Roman" w:eastAsia="Times New Roman" w:hAnsi="Times New Roman"/>
          <w:b/>
          <w:bCs/>
          <w:sz w:val="24"/>
          <w:szCs w:val="24"/>
        </w:rPr>
        <w:t xml:space="preserve">three times the outdoor baseline level.</w:t>
      </w:r>
      <w:r>
        <w:rPr>
          <w:rFonts w:ascii="Times New Roman" w:cs="Times New Roman" w:eastAsia="Times New Roman" w:hAnsi="Times New Roman"/>
          <w:sz w:val="24"/>
          <w:szCs w:val="24"/>
        </w:rPr>
        <w:t xml:space="preserve"> The indoor total fungal spore count (960 count/m³) also exceeded the outdoor total (850 count/m³). Professional industrial hygienists regard any indoor-to-outdoor ratio substantially exceeding 1:1 for Aspergillus/Penicillium as confirmation of active indoor mold amplification requiring professional remediation.</w:t>
      </w:r>
    </w:p>
    <w:p>
      <w:pPr>
        <w:spacing w:after="200" w:before="0" w:line="276" w:lineRule="auto"/>
        <w:ind w:left="720"/>
        <w:jc w:val="both"/>
        <w:keepNext/>
      </w:pPr>
      <w:r>
        <w:rPr>
          <w:rFonts w:ascii="Times New Roman" w:cs="Times New Roman" w:eastAsia="Times New Roman" w:hAnsi="Times New Roman"/>
          <w:b/>
          <w:bCs/>
          <w:sz w:val="24"/>
          <w:szCs w:val="24"/>
        </w:rPr>
        <w:t xml:space="preserve">Alternaria (Ulocladium) confirmed positive on hallway ceiling swab</w:t>
      </w:r>
      <w:r>
        <w:rPr>
          <w:rFonts w:ascii="Times New Roman" w:cs="Times New Roman" w:eastAsia="Times New Roman" w:hAnsi="Times New Roman"/>
          <w:sz w:val="24"/>
          <w:szCs w:val="24"/>
        </w:rPr>
        <w:t xml:space="preserve"> — Alternaria is recognized by the World Health Organization and the U.S. Centers for Disease Control as one of the most significant fungal allergen sources worldwide. Sensitivity to Alternaria is a documented risk factor for severe and potentially fatal asthma attacks, particularly in children. Ulocladium (reclassified as </w:t>
      </w:r>
      <w:r>
        <w:rPr>
          <w:rFonts w:ascii="Times New Roman" w:cs="Times New Roman" w:eastAsia="Times New Roman" w:hAnsi="Times New Roman"/>
          <w:i/>
          <w:iCs/>
          <w:sz w:val="24"/>
          <w:szCs w:val="24"/>
        </w:rPr>
        <w:t xml:space="preserve">Alternaria chartarum</w:t>
      </w:r>
      <w:r>
        <w:rPr>
          <w:rFonts w:ascii="Times New Roman" w:cs="Times New Roman" w:eastAsia="Times New Roman" w:hAnsi="Times New Roman"/>
          <w:sz w:val="24"/>
          <w:szCs w:val="24"/>
        </w:rPr>
        <w:t xml:space="preserve">) is a definitive indicator of water-damaged buildings and produces mycotoxins with documented cytotoxic properties.</w:t>
      </w:r>
    </w:p>
    <w:p>
      <w:pPr>
        <w:spacing w:after="200" w:before="0" w:line="276" w:lineRule="auto"/>
        <w:jc w:val="both"/>
        <w:keepNext/>
      </w:pPr>
      <w:r>
        <w:rPr>
          <w:rFonts w:ascii="Times New Roman" w:cs="Times New Roman" w:eastAsia="Times New Roman" w:hAnsi="Times New Roman"/>
          <w:sz w:val="24"/>
          <w:szCs w:val="24"/>
        </w:rPr>
        <w:t xml:space="preserve">On May 1, 2025, Cristina Martinez of Mold &amp; Water Damage Specialist Inc. notified me in writing that my test results were “positive for mold” with “elevated indoor vs outdoor spores,” and specifically warned that </w:t>
      </w:r>
      <w:r>
        <w:rPr>
          <w:rFonts w:ascii="Times New Roman" w:cs="Times New Roman" w:eastAsia="Times New Roman" w:hAnsi="Times New Roman"/>
          <w:b/>
          <w:bCs/>
          <w:sz w:val="24"/>
          <w:szCs w:val="24"/>
        </w:rPr>
        <w:t xml:space="preserve">“TENANTS WILL NEED TO BE RELOCATED UNTIL THE ENTIRE REMEDIATION CLEAN-UP HAS BEEN COMPLETED”</w:t>
      </w:r>
      <w:r>
        <w:rPr>
          <w:rFonts w:ascii="Times New Roman" w:cs="Times New Roman" w:eastAsia="Times New Roman" w:hAnsi="Times New Roman"/>
          <w:sz w:val="24"/>
          <w:szCs w:val="24"/>
        </w:rPr>
        <w:t xml:space="preserve"> because the bathroom and both bedrooms would be inaccessible during remediation. She further warned that </w:t>
      </w:r>
      <w:r>
        <w:rPr>
          <w:rFonts w:ascii="Times New Roman" w:cs="Times New Roman" w:eastAsia="Times New Roman" w:hAnsi="Times New Roman"/>
          <w:b/>
          <w:bCs/>
          <w:sz w:val="24"/>
          <w:szCs w:val="24"/>
        </w:rPr>
        <w:t xml:space="preserve">“THE AIR CONDITIONER IN THE UNIT MUST NOT BE TURNED ON”</w:t>
      </w:r>
      <w:r>
        <w:rPr>
          <w:rFonts w:ascii="Times New Roman" w:cs="Times New Roman" w:eastAsia="Times New Roman" w:hAnsi="Times New Roman"/>
          <w:sz w:val="24"/>
          <w:szCs w:val="24"/>
        </w:rPr>
        <w:t xml:space="preserve"> until clearance testing confirmed the job had passed — meaning the HVAC system could be spreading contaminated air throughout the unit.</w:t>
      </w:r>
    </w:p>
    <w:p>
      <w:pPr>
        <w:spacing w:after="200" w:before="0" w:line="276" w:lineRule="auto"/>
        <w:jc w:val="both"/>
        <w:keepNext/>
      </w:pPr>
      <w:r>
        <w:rPr>
          <w:rFonts w:ascii="Times New Roman" w:cs="Times New Roman" w:eastAsia="Times New Roman" w:hAnsi="Times New Roman"/>
          <w:b/>
          <w:bCs/>
          <w:sz w:val="24"/>
          <w:szCs w:val="24"/>
        </w:rPr>
        <w:t xml:space="preserve">On October 14, 2025, I submitted a written maintenance request directly to Joshua Ochoa, General Manager of California HOA Solutions LLC, the Association’s property management company.</w:t>
      </w:r>
      <w:r>
        <w:rPr>
          <w:rFonts w:ascii="Times New Roman" w:cs="Times New Roman" w:eastAsia="Times New Roman" w:hAnsi="Times New Roman"/>
          <w:sz w:val="24"/>
          <w:szCs w:val="24"/>
        </w:rPr>
        <w:t xml:space="preserve"> In that communication, I specifically stated that my “ceiling leakage… has gotten much worse over the year” and that “</w:t>
      </w:r>
      <w:r>
        <w:rPr>
          <w:rFonts w:ascii="Times New Roman" w:cs="Times New Roman" w:eastAsia="Times New Roman" w:hAnsi="Times New Roman"/>
          <w:b/>
          <w:bCs/>
          <w:sz w:val="24"/>
          <w:szCs w:val="24"/>
        </w:rPr>
        <w:t xml:space="preserve">mold has built up and is becoming a health hazard.</w:t>
      </w:r>
      <w:r>
        <w:rPr>
          <w:rFonts w:ascii="Times New Roman" w:cs="Times New Roman" w:eastAsia="Times New Roman" w:hAnsi="Times New Roman"/>
          <w:sz w:val="24"/>
          <w:szCs w:val="24"/>
        </w:rPr>
        <w:t xml:space="preserve">” I requested that the damaged drywall with mold be removed and new drywall installed as an interim measure. </w:t>
      </w:r>
      <w:r>
        <w:rPr>
          <w:rFonts w:ascii="Times New Roman" w:cs="Times New Roman" w:eastAsia="Times New Roman" w:hAnsi="Times New Roman"/>
          <w:b/>
          <w:bCs/>
          <w:sz w:val="24"/>
          <w:szCs w:val="24"/>
        </w:rPr>
        <w:t xml:space="preserve">No action was taken in response to this request.</w:t>
      </w:r>
    </w:p>
    <w:p>
      <w:pPr>
        <w:spacing w:after="200" w:before="0" w:line="276" w:lineRule="auto"/>
        <w:jc w:val="both"/>
        <w:keepNext/>
      </w:pPr>
      <w:r>
        <w:rPr>
          <w:rFonts w:ascii="Times New Roman" w:cs="Times New Roman" w:eastAsia="Times New Roman" w:hAnsi="Times New Roman"/>
          <w:sz w:val="24"/>
          <w:szCs w:val="24"/>
        </w:rPr>
        <w:t xml:space="preserve">On February 6, 2026, I obtained a professional mold remediation estimate from Mold &amp; Water Damage Specialist Inc. (Estimate #337). The remediation of my unit alone will cost </w:t>
      </w:r>
      <w:r>
        <w:rPr>
          <w:rFonts w:ascii="Times New Roman" w:cs="Times New Roman" w:eastAsia="Times New Roman" w:hAnsi="Times New Roman"/>
          <w:b/>
          <w:bCs/>
          <w:sz w:val="24"/>
          <w:szCs w:val="24"/>
        </w:rPr>
        <w:t xml:space="preserve">$17,243.53</w:t>
      </w:r>
      <w:r>
        <w:rPr>
          <w:rFonts w:ascii="Times New Roman" w:cs="Times New Roman" w:eastAsia="Times New Roman" w:hAnsi="Times New Roman"/>
          <w:sz w:val="24"/>
          <w:szCs w:val="24"/>
        </w:rPr>
        <w:t xml:space="preserve">. That estimate requires removal and disposal of </w:t>
      </w:r>
      <w:r>
        <w:rPr>
          <w:rFonts w:ascii="Times New Roman" w:cs="Times New Roman" w:eastAsia="Times New Roman" w:hAnsi="Times New Roman"/>
          <w:i/>
          <w:iCs/>
          <w:sz w:val="24"/>
          <w:szCs w:val="24"/>
        </w:rPr>
        <w:t xml:space="preserve">the entire ceiling</w:t>
      </w:r>
      <w:r>
        <w:rPr>
          <w:rFonts w:ascii="Times New Roman" w:cs="Times New Roman" w:eastAsia="Times New Roman" w:hAnsi="Times New Roman"/>
          <w:sz w:val="24"/>
          <w:szCs w:val="24"/>
        </w:rPr>
        <w:t xml:space="preserve"> in the hallway, master bedroom, bedroom #2, dining room, living room, and kitchen, plus the entire east wall and baseboard in the master bedroom, along with setup of containment barriers, negative air scrubbers, HEPA vacuuming, and chemical wipe-down of all affected surfaces. The estimate does </w:t>
      </w:r>
      <w:r>
        <w:rPr>
          <w:rFonts w:ascii="Times New Roman" w:cs="Times New Roman" w:eastAsia="Times New Roman" w:hAnsi="Times New Roman"/>
          <w:i/>
          <w:iCs/>
          <w:sz w:val="24"/>
          <w:szCs w:val="24"/>
        </w:rPr>
        <w:t xml:space="preserve">not</w:t>
      </w:r>
      <w:r>
        <w:rPr>
          <w:rFonts w:ascii="Times New Roman" w:cs="Times New Roman" w:eastAsia="Times New Roman" w:hAnsi="Times New Roman"/>
          <w:sz w:val="24"/>
          <w:szCs w:val="24"/>
        </w:rPr>
        <w:t xml:space="preserve"> include reconstruction of the demolished surfaces, which will require a separate estimate. Most critically, the remediation company has confirmed in writing that </w:t>
      </w:r>
      <w:r>
        <w:rPr>
          <w:rFonts w:ascii="Times New Roman" w:cs="Times New Roman" w:eastAsia="Times New Roman" w:hAnsi="Times New Roman"/>
          <w:b/>
          <w:bCs/>
          <w:sz w:val="24"/>
          <w:szCs w:val="24"/>
          <w:u w:val="single"/>
        </w:rPr>
        <w:t xml:space="preserve">the roof must be completely repaired before the mold remediation clean-up starts.</w:t>
      </w:r>
      <w:r>
        <w:rPr>
          <w:rFonts w:ascii="Times New Roman" w:cs="Times New Roman" w:eastAsia="Times New Roman" w:hAnsi="Times New Roman"/>
          <w:sz w:val="24"/>
          <w:szCs w:val="24"/>
        </w:rPr>
        <w:t xml:space="preserve"> Without a functional roof, any remediation would be futile — the mold would return with the next rain.</w:t>
      </w:r>
    </w:p>
    <w:p>
      <w:pPr>
        <w:spacing w:after="200" w:before="0" w:line="276" w:lineRule="auto"/>
        <w:jc w:val="both"/>
      </w:pPr>
      <w:r>
        <w:rPr>
          <w:rFonts w:ascii="Times New Roman" w:cs="Times New Roman" w:eastAsia="Times New Roman" w:hAnsi="Times New Roman"/>
          <w:sz w:val="24"/>
          <w:szCs w:val="24"/>
        </w:rPr>
        <w:t xml:space="preserve">Additionally, the HVAC closet insulation was observed during inspection to be “very dirty, possible damage,” and may be contaminated with both mold and asbestos. Mold &amp; Water Damage Specialist Inc. has recommended that the insulation be tested for both mold and asbestos before any remediation work begins. Given that this building was constructed circa 1980 [</w:t>
      </w:r>
      <w:r>
        <w:rPr>
          <w:rFonts w:ascii="Times New Roman" w:cs="Times New Roman" w:eastAsia="Times New Roman" w:hAnsi="Times New Roman"/>
          <w:i/>
          <w:iCs/>
          <w:sz w:val="24"/>
          <w:szCs w:val="24"/>
        </w:rPr>
        <w:t xml:space="preserve">Note: exact construction date to be confirmed via LA County Assessor records</w:t>
      </w:r>
      <w:r>
        <w:rPr>
          <w:rFonts w:ascii="Times New Roman" w:cs="Times New Roman" w:eastAsia="Times New Roman" w:hAnsi="Times New Roman"/>
          <w:sz w:val="24"/>
          <w:szCs w:val="24"/>
        </w:rPr>
        <w:t xml:space="preserve">], the insulation qualifies as </w:t>
      </w:r>
      <w:r>
        <w:rPr>
          <w:rFonts w:ascii="Times New Roman" w:cs="Times New Roman" w:eastAsia="Times New Roman" w:hAnsi="Times New Roman"/>
          <w:i/>
          <w:iCs/>
          <w:sz w:val="24"/>
          <w:szCs w:val="24"/>
        </w:rPr>
        <w:t xml:space="preserve">Presumed Asbestos Containing Material</w:t>
      </w:r>
      <w:r>
        <w:rPr>
          <w:rFonts w:ascii="Times New Roman" w:cs="Times New Roman" w:eastAsia="Times New Roman" w:hAnsi="Times New Roman"/>
          <w:sz w:val="24"/>
          <w:szCs w:val="24"/>
        </w:rPr>
        <w:t xml:space="preserve"> (PACM) under California occupational safety regulations (Title 8 CCR § 1529), adding both cost and regulatory complexity to the remediation.</w:t>
      </w:r>
    </w:p>
    <w:p>
      <w:pPr>
        <w:spacing w:before="360" w:after="200" w:line="276" w:lineRule="auto"/>
        <w:jc w:val="left"/>
        <w:keepNext/>
      </w:pPr>
      <w:r>
        <w:rPr>
          <w:rFonts w:ascii="Times New Roman" w:cs="Times New Roman" w:eastAsia="Times New Roman" w:hAnsi="Times New Roman"/>
          <w:b/>
          <w:bCs/>
          <w:sz w:val="28"/>
          <w:szCs w:val="28"/>
          <w:u w:val="single"/>
        </w:rPr>
        <w:t xml:space="preserve">The Impact on My Life</w:t>
      </w:r>
    </w:p>
    <w:p>
      <w:pPr>
        <w:spacing w:after="200" w:before="0" w:line="276" w:lineRule="auto"/>
        <w:jc w:val="both"/>
      </w:pPr>
      <w:r>
        <w:rPr>
          <w:rFonts w:ascii="Times New Roman" w:cs="Times New Roman" w:eastAsia="Times New Roman" w:hAnsi="Times New Roman"/>
          <w:b w:val="false"/>
          <w:bCs w:val="false"/>
          <w:i w:val="false"/>
          <w:iCs w:val="false"/>
          <w:sz w:val="24"/>
          <w:szCs w:val="24"/>
        </w:rPr>
        <w:t xml:space="preserve">My tenant moved out because the unit is uninhabitable. No responsible property owner would place a tenant in a unit with documented mold contamination at three times outdoor levels, where the remediation company has warned that occupants must be relocated and the air conditioning system cannot be operated. I am now paying my mortgage out of pocket every month — approximately $[AMOUNT]/month — with no rental income to offset it. I previously received approximately $[AMOUNT]/month in rental income. My tenant departed on or about [DATE], and I have received no rental income since that date.</w:t>
      </w:r>
    </w:p>
    <w:p>
      <w:pPr>
        <w:spacing w:after="200" w:before="0" w:line="276" w:lineRule="auto"/>
        <w:jc w:val="both"/>
      </w:pPr>
      <w:r>
        <w:rPr>
          <w:rFonts w:ascii="Times New Roman" w:cs="Times New Roman" w:eastAsia="Times New Roman" w:hAnsi="Times New Roman"/>
          <w:b w:val="false"/>
          <w:bCs w:val="false"/>
          <w:i w:val="false"/>
          <w:iCs w:val="false"/>
          <w:sz w:val="24"/>
          <w:szCs w:val="24"/>
        </w:rPr>
        <w:t xml:space="preserve">I cannot remediate the mold because the roof has not been fixed. The roof has not been fixed because the membership voted 20 to 9 against a special assessment — a vote in which the 20 unaffected owners in the building chose to leave the 9 affected owners, including me, living under a leaking, moldy roof.</w:t>
      </w:r>
    </w:p>
    <w:p>
      <w:pPr>
        <w:spacing w:after="200" w:before="0" w:line="276" w:lineRule="auto"/>
        <w:jc w:val="both"/>
        <w:keepNext/>
      </w:pPr>
      <w:r>
        <w:rPr>
          <w:rFonts w:ascii="Times New Roman" w:cs="Times New Roman" w:eastAsia="Times New Roman" w:hAnsi="Times New Roman"/>
          <w:sz w:val="24"/>
          <w:szCs w:val="24"/>
        </w:rPr>
        <w:t xml:space="preserve">I want to be direct about what this has meant for me personally: I am trapped. I cannot use my own property. I cannot generate income from my own investment. I am hemorrhaging money every month to service a mortgage on a unit that is literally making people sick. Every month that passes without repair, the damage compounds — the mold spreads to new surfaces, the drywall deteriorates further, the remediation scope and cost increase, and my financial losses grow. </w:t>
      </w:r>
      <w:r>
        <w:rPr>
          <w:rFonts w:ascii="Times New Roman" w:cs="Times New Roman" w:eastAsia="Times New Roman" w:hAnsi="Times New Roman"/>
          <w:b/>
          <w:bCs/>
          <w:sz w:val="24"/>
          <w:szCs w:val="24"/>
        </w:rPr>
        <w:t xml:space="preserve">This situation is not sustainable, and it is not just.</w:t>
      </w:r>
    </w:p>
    <w:p>
      <w:pPr>
        <w:spacing w:before="360" w:after="200" w:line="276" w:lineRule="auto"/>
        <w:jc w:val="left"/>
        <w:keepNext/>
      </w:pPr>
      <w:r>
        <w:rPr>
          <w:rFonts w:ascii="Times New Roman" w:cs="Times New Roman" w:eastAsia="Times New Roman" w:hAnsi="Times New Roman"/>
          <w:b/>
          <w:bCs/>
          <w:sz w:val="28"/>
          <w:szCs w:val="28"/>
          <w:u w:val="single"/>
        </w:rPr>
        <w:t xml:space="preserve">The Board’s Legal Authority to Act Without a Membership Vote</w:t>
      </w:r>
    </w:p>
    <w:p>
      <w:pPr>
        <w:spacing w:after="200" w:before="0" w:line="276" w:lineRule="auto"/>
        <w:jc w:val="both"/>
        <w:keepNext/>
      </w:pPr>
      <w:r>
        <w:rPr>
          <w:rFonts w:ascii="Times New Roman" w:cs="Times New Roman" w:eastAsia="Times New Roman" w:hAnsi="Times New Roman"/>
          <w:b/>
          <w:bCs/>
          <w:sz w:val="24"/>
          <w:szCs w:val="24"/>
        </w:rPr>
        <w:t xml:space="preserve">The Board does not need the membership’s permission to fix this roof.</w:t>
      </w:r>
      <w:r>
        <w:rPr>
          <w:rFonts w:ascii="Times New Roman" w:cs="Times New Roman" w:eastAsia="Times New Roman" w:hAnsi="Times New Roman"/>
          <w:sz w:val="24"/>
          <w:szCs w:val="24"/>
        </w:rPr>
        <w:t xml:space="preserve"> On January 1, 2025, California Senate Bill 900 took effect, amending Civil Code Section 5610(b) to explicitly authorize emergency assessments — </w:t>
      </w:r>
      <w:r>
        <w:rPr>
          <w:rFonts w:ascii="Times New Roman" w:cs="Times New Roman" w:eastAsia="Times New Roman" w:hAnsi="Times New Roman"/>
          <w:b/>
          <w:bCs/>
          <w:sz w:val="24"/>
          <w:szCs w:val="24"/>
        </w:rPr>
        <w:t xml:space="preserve">without any member vote and with no dollar cap</w:t>
      </w:r>
      <w:r>
        <w:rPr>
          <w:rFonts w:ascii="Times New Roman" w:cs="Times New Roman" w:eastAsia="Times New Roman" w:hAnsi="Times New Roman"/>
          <w:sz w:val="24"/>
          <w:szCs w:val="24"/>
        </w:rPr>
        <w:t xml:space="preserve"> — when an extraordinary expense is necessary to “operate, repair, or maintain” the common interest development where a threat to personal “</w:t>
      </w:r>
      <w:r>
        <w:rPr>
          <w:rFonts w:ascii="Times New Roman" w:cs="Times New Roman" w:eastAsia="Times New Roman" w:hAnsi="Times New Roman"/>
          <w:b/>
          <w:bCs/>
          <w:sz w:val="24"/>
          <w:szCs w:val="24"/>
        </w:rPr>
        <w:t xml:space="preserve">health or safety or another hazardous condition or circumstance</w:t>
      </w:r>
      <w:r>
        <w:rPr>
          <w:rFonts w:ascii="Times New Roman" w:cs="Times New Roman" w:eastAsia="Times New Roman" w:hAnsi="Times New Roman"/>
          <w:sz w:val="24"/>
          <w:szCs w:val="24"/>
        </w:rPr>
        <w:t xml:space="preserve">” on the property is discovered. The prior version of this statute covered only threats to personal “safety.” The Legislature deliberately expanded the language to encompass health hazards, which legal commentators have confirmed includes airborne hazards such as mold contamination.</w:t>
      </w:r>
    </w:p>
    <w:p>
      <w:pPr>
        <w:spacing w:after="200" w:before="0" w:line="276" w:lineRule="auto"/>
        <w:jc w:val="both"/>
        <w:keepNext/>
      </w:pPr>
      <w:r>
        <w:rPr>
          <w:rFonts w:ascii="Times New Roman" w:cs="Times New Roman" w:eastAsia="Times New Roman" w:hAnsi="Times New Roman"/>
          <w:sz w:val="24"/>
          <w:szCs w:val="24"/>
        </w:rPr>
        <w:t xml:space="preserve">Confirmed mold contamination at three times outdoor levels, documented by an accredited laboratory, caused by a leaking roof that the Association is obligated to maintain under both the CC&amp;Rs and Civil Code § 4775, and which has already rendered a unit uninhabitable and forced a tenant to vacate, fits squarely within this expanded emergency authority. Under § 5610, the Board may levy an emergency assessment of </w:t>
      </w:r>
      <w:r>
        <w:rPr>
          <w:rFonts w:ascii="Times New Roman" w:cs="Times New Roman" w:eastAsia="Times New Roman" w:hAnsi="Times New Roman"/>
          <w:b/>
          <w:bCs/>
          <w:sz w:val="24"/>
          <w:szCs w:val="24"/>
        </w:rPr>
        <w:t xml:space="preserve">any amount</w:t>
      </w:r>
      <w:r>
        <w:rPr>
          <w:rFonts w:ascii="Times New Roman" w:cs="Times New Roman" w:eastAsia="Times New Roman" w:hAnsi="Times New Roman"/>
          <w:sz w:val="24"/>
          <w:szCs w:val="24"/>
        </w:rPr>
        <w:t xml:space="preserve"> upon all 29 units, with no member vote required. The only procedural requirement is that the Board pass a resolution with written findings as to the necessity of the extraordinary expense, and provide 30-60 days’ advance written notice before the assessment becomes due (§ 5615).</w:t>
      </w:r>
    </w:p>
    <w:p>
      <w:pPr>
        <w:spacing w:after="200" w:before="0" w:line="276" w:lineRule="auto"/>
        <w:jc w:val="both"/>
      </w:pPr>
      <w:r>
        <w:rPr>
          <w:rFonts w:ascii="Times New Roman" w:cs="Times New Roman" w:eastAsia="Times New Roman" w:hAnsi="Times New Roman"/>
          <w:sz w:val="24"/>
          <w:szCs w:val="24"/>
        </w:rPr>
        <w:t xml:space="preserve">The Board can act </w:t>
      </w:r>
      <w:r>
        <w:rPr>
          <w:rFonts w:ascii="Times New Roman" w:cs="Times New Roman" w:eastAsia="Times New Roman" w:hAnsi="Times New Roman"/>
          <w:i/>
          <w:iCs/>
          <w:sz w:val="24"/>
          <w:szCs w:val="24"/>
        </w:rPr>
        <w:t xml:space="preserve">today.</w:t>
      </w:r>
      <w:r>
        <w:rPr>
          <w:rFonts w:ascii="Times New Roman" w:cs="Times New Roman" w:eastAsia="Times New Roman" w:hAnsi="Times New Roman"/>
          <w:sz w:val="24"/>
          <w:szCs w:val="24"/>
        </w:rPr>
        <w:t xml:space="preserve"> It can convene an emergency meeting, pass a resolution supported by the laboratory test results and remediation estimate, declare the leaking roof and resulting mold contamination an emergency under § 5610(b), levy the necessary assessment, and engage contractors to begin work. The 20-9 failed vote on a </w:t>
      </w:r>
      <w:r>
        <w:rPr>
          <w:rFonts w:ascii="Times New Roman" w:cs="Times New Roman" w:eastAsia="Times New Roman" w:hAnsi="Times New Roman"/>
          <w:i/>
          <w:iCs/>
          <w:sz w:val="24"/>
          <w:szCs w:val="24"/>
        </w:rPr>
        <w:t xml:space="preserve">regular</w:t>
      </w:r>
      <w:r>
        <w:rPr>
          <w:rFonts w:ascii="Times New Roman" w:cs="Times New Roman" w:eastAsia="Times New Roman" w:hAnsi="Times New Roman"/>
          <w:sz w:val="24"/>
          <w:szCs w:val="24"/>
        </w:rPr>
        <w:t xml:space="preserve"> special assessment under § 5605 has no bearing whatsoever on the Board’s independent </w:t>
      </w:r>
      <w:r>
        <w:rPr>
          <w:rFonts w:ascii="Times New Roman" w:cs="Times New Roman" w:eastAsia="Times New Roman" w:hAnsi="Times New Roman"/>
          <w:i/>
          <w:iCs/>
          <w:sz w:val="24"/>
          <w:szCs w:val="24"/>
        </w:rPr>
        <w:t xml:space="preserve">emergency</w:t>
      </w:r>
      <w:r>
        <w:rPr>
          <w:rFonts w:ascii="Times New Roman" w:cs="Times New Roman" w:eastAsia="Times New Roman" w:hAnsi="Times New Roman"/>
          <w:sz w:val="24"/>
          <w:szCs w:val="24"/>
        </w:rPr>
        <w:t xml:space="preserve"> authority under § 5610.</w:t>
      </w:r>
    </w:p>
    <w:p>
      <w:pPr>
        <w:spacing w:before="360" w:after="200" w:line="276" w:lineRule="auto"/>
        <w:jc w:val="left"/>
        <w:keepNext/>
      </w:pPr>
      <w:r>
        <w:rPr>
          <w:rFonts w:ascii="Times New Roman" w:cs="Times New Roman" w:eastAsia="Times New Roman" w:hAnsi="Times New Roman"/>
          <w:b/>
          <w:bCs/>
          <w:sz w:val="28"/>
          <w:szCs w:val="28"/>
          <w:u w:val="single"/>
        </w:rPr>
        <w:t xml:space="preserve">The Settlement I Am Proposing</w:t>
      </w:r>
    </w:p>
    <w:p>
      <w:pPr>
        <w:spacing w:after="200" w:before="0" w:line="276" w:lineRule="auto"/>
        <w:jc w:val="both"/>
        <w:keepNext/>
      </w:pPr>
      <w:r>
        <w:rPr>
          <w:rFonts w:ascii="Times New Roman" w:cs="Times New Roman" w:eastAsia="Times New Roman" w:hAnsi="Times New Roman"/>
          <w:sz w:val="24"/>
          <w:szCs w:val="24"/>
        </w:rPr>
        <w:t xml:space="preserve">Before I retain counsel and initiate formal legal proceedings, I am offering the Association </w:t>
      </w:r>
      <w:r>
        <w:rPr>
          <w:rFonts w:ascii="Times New Roman" w:cs="Times New Roman" w:eastAsia="Times New Roman" w:hAnsi="Times New Roman"/>
          <w:b/>
          <w:bCs/>
          <w:sz w:val="24"/>
          <w:szCs w:val="24"/>
        </w:rPr>
        <w:t xml:space="preserve">fifteen (15) calendar days from receipt of this letter</w:t>
      </w:r>
      <w:r>
        <w:rPr>
          <w:rFonts w:ascii="Times New Roman" w:cs="Times New Roman" w:eastAsia="Times New Roman" w:hAnsi="Times New Roman"/>
          <w:sz w:val="24"/>
          <w:szCs w:val="24"/>
        </w:rPr>
        <w:t xml:space="preserve"> to commit in writing to the following resolution:</w:t>
      </w:r>
    </w:p>
    <w:p>
      <w:pPr>
        <w:spacing w:after="200" w:before="0" w:line="276" w:lineRule="auto"/>
        <w:ind w:left="720"/>
        <w:jc w:val="both"/>
        <w:keepNext/>
      </w:pPr>
      <w:r>
        <w:rPr>
          <w:rFonts w:ascii="Times New Roman" w:cs="Times New Roman" w:eastAsia="Times New Roman" w:hAnsi="Times New Roman"/>
          <w:b/>
          <w:bCs/>
          <w:sz w:val="24"/>
          <w:szCs w:val="24"/>
        </w:rPr>
        <w:t xml:space="preserve">1. Emergency Roof Repair.</w:t>
      </w:r>
      <w:r>
        <w:rPr>
          <w:rFonts w:ascii="Times New Roman" w:cs="Times New Roman" w:eastAsia="Times New Roman" w:hAnsi="Times New Roman"/>
          <w:sz w:val="24"/>
          <w:szCs w:val="24"/>
        </w:rPr>
        <w:t xml:space="preserve"> The Board convenes a special meeting, passes a resolution under Civil Code § 5610(b) declaring the leaking roof an emergency health and safety hazard, levies the necessary emergency assessment on all 29 units, and engages a licensed roofing contractor to commence repairs within thirty (30) calendar days of the resolution.</w:t>
      </w:r>
    </w:p>
    <w:p>
      <w:pPr>
        <w:spacing w:after="200" w:before="0" w:line="276" w:lineRule="auto"/>
        <w:ind w:left="720"/>
        <w:jc w:val="both"/>
        <w:keepNext/>
      </w:pPr>
      <w:r>
        <w:rPr>
          <w:rFonts w:ascii="Times New Roman" w:cs="Times New Roman" w:eastAsia="Times New Roman" w:hAnsi="Times New Roman"/>
          <w:b/>
          <w:bCs/>
          <w:sz w:val="24"/>
          <w:szCs w:val="24"/>
        </w:rPr>
        <w:t xml:space="preserve">2. Professional Mold Remediation.</w:t>
      </w:r>
      <w:r>
        <w:rPr>
          <w:rFonts w:ascii="Times New Roman" w:cs="Times New Roman" w:eastAsia="Times New Roman" w:hAnsi="Times New Roman"/>
          <w:sz w:val="24"/>
          <w:szCs w:val="24"/>
        </w:rPr>
        <w:t xml:space="preserve"> Upon completion of roof repairs, the Association funds and oversees professional mold remediation of Unit 208 (and all other affected units requesting remediation) by a licensed remediation company, including asbestos testing as required, with clearance testing by an independent, licensed third-party industrial hygienist.</w:t>
      </w:r>
    </w:p>
    <w:p>
      <w:pPr>
        <w:spacing w:after="200" w:before="0" w:line="276" w:lineRule="auto"/>
        <w:ind w:left="720"/>
        <w:jc w:val="both"/>
        <w:keepNext/>
      </w:pPr>
      <w:r>
        <w:rPr>
          <w:rFonts w:ascii="Times New Roman" w:cs="Times New Roman" w:eastAsia="Times New Roman" w:hAnsi="Times New Roman"/>
          <w:b/>
          <w:bCs/>
          <w:sz w:val="24"/>
          <w:szCs w:val="24"/>
        </w:rPr>
        <w:t xml:space="preserve">3. Reconstruction.</w:t>
      </w:r>
      <w:r>
        <w:rPr>
          <w:rFonts w:ascii="Times New Roman" w:cs="Times New Roman" w:eastAsia="Times New Roman" w:hAnsi="Times New Roman"/>
          <w:sz w:val="24"/>
          <w:szCs w:val="24"/>
        </w:rPr>
        <w:t xml:space="preserve"> The Association funds reconstruction of all interior surfaces demolished during remediation, including ceilings, walls, baseboards, and finishes, to restore the unit to its pre-damage condition.</w:t>
      </w:r>
    </w:p>
    <w:p>
      <w:pPr>
        <w:spacing w:after="200" w:before="0" w:line="276" w:lineRule="auto"/>
        <w:ind w:left="720"/>
        <w:jc w:val="both"/>
        <w:keepNext/>
      </w:pPr>
      <w:r>
        <w:rPr>
          <w:rFonts w:ascii="Times New Roman" w:cs="Times New Roman" w:eastAsia="Times New Roman" w:hAnsi="Times New Roman"/>
          <w:b/>
          <w:bCs/>
          <w:sz w:val="24"/>
          <w:szCs w:val="24"/>
        </w:rPr>
        <w:t xml:space="preserve">4. Reimbursement of Documented Out-of-Pocket Costs.</w:t>
      </w:r>
      <w:r>
        <w:rPr>
          <w:rFonts w:ascii="Times New Roman" w:cs="Times New Roman" w:eastAsia="Times New Roman" w:hAnsi="Times New Roman"/>
          <w:sz w:val="24"/>
          <w:szCs w:val="24"/>
        </w:rPr>
        <w:t xml:space="preserve"> The Association reimburses me for all documented expenses incurred as a result of the Association’s failure to maintain the roof, including but not limited to: mold testing costs ($[AMOUNT]); lost rental income from [TENANT DEPARTURE DATE] through the date the unit passes clearance testing and is habitable ($[AMOUNT]/month × [NUMBER] months = $[TOTAL]); and any temporary housing or relocation costs incurred.</w:t>
      </w:r>
    </w:p>
    <w:p>
      <w:pPr>
        <w:spacing w:after="300" w:before="0" w:line="276" w:lineRule="auto"/>
        <w:ind w:left="720"/>
        <w:jc w:val="both"/>
        <w:keepNext/>
      </w:pPr>
      <w:r>
        <w:rPr>
          <w:rFonts w:ascii="Times New Roman" w:cs="Times New Roman" w:eastAsia="Times New Roman" w:hAnsi="Times New Roman"/>
          <w:b/>
          <w:bCs/>
          <w:sz w:val="24"/>
          <w:szCs w:val="24"/>
        </w:rPr>
        <w:t xml:space="preserve">5. Mutual Release.</w:t>
      </w:r>
      <w:r>
        <w:rPr>
          <w:rFonts w:ascii="Times New Roman" w:cs="Times New Roman" w:eastAsia="Times New Roman" w:hAnsi="Times New Roman"/>
          <w:sz w:val="24"/>
          <w:szCs w:val="24"/>
        </w:rPr>
        <w:t xml:space="preserve"> Upon satisfactory completion of items 1-4, I will execute a mutual release of all claims arising from these events, and the matter will be fully and finally resolved.</w:t>
      </w:r>
    </w:p>
    <w:p>
      <w:pPr>
        <w:spacing w:after="200" w:before="0" w:line="276" w:lineRule="auto"/>
        <w:jc w:val="both"/>
      </w:pPr>
      <w:r>
        <w:rPr>
          <w:rFonts w:ascii="Times New Roman" w:cs="Times New Roman" w:eastAsia="Times New Roman" w:hAnsi="Times New Roman"/>
          <w:sz w:val="24"/>
          <w:szCs w:val="24"/>
        </w:rPr>
        <w:t xml:space="preserve">This resolution allows the Board to fulfill its legal obligations, protect the health and safety of all residents, preserve the property values of all 29 units, and resolve this matter without the expense, disruption, publicity, and uncertainty of litigation. The Board emerges as having </w:t>
      </w:r>
      <w:r>
        <w:rPr>
          <w:rFonts w:ascii="Times New Roman" w:cs="Times New Roman" w:eastAsia="Times New Roman" w:hAnsi="Times New Roman"/>
          <w:i/>
          <w:iCs/>
          <w:sz w:val="24"/>
          <w:szCs w:val="24"/>
        </w:rPr>
        <w:t xml:space="preserve">done the right thing</w:t>
      </w:r>
      <w:r>
        <w:rPr>
          <w:rFonts w:ascii="Times New Roman" w:cs="Times New Roman" w:eastAsia="Times New Roman" w:hAnsi="Times New Roman"/>
          <w:sz w:val="24"/>
          <w:szCs w:val="24"/>
        </w:rPr>
        <w:t xml:space="preserve"> for its community. That is the outcome I prefer, and I believe it is the outcome that serves everyone’s interests.</w:t>
      </w:r>
    </w:p>
    <w:p>
      <w:pPr>
        <w:spacing w:after="200" w:before="0" w:line="276" w:lineRule="auto"/>
        <w:jc w:val="both"/>
        <w:keepNext/>
      </w:pPr>
      <w:r>
        <w:rPr>
          <w:rFonts w:ascii="Times New Roman" w:cs="Times New Roman" w:eastAsia="Times New Roman" w:hAnsi="Times New Roman"/>
          <w:b/>
          <w:bCs/>
          <w:sz w:val="24"/>
          <w:szCs w:val="24"/>
        </w:rPr>
        <w:t xml:space="preserve">If the Board does not respond within fifteen (15) calendar days of receipt of this letter, or if it rejects this proposal without offering a reasonable alternative, I will have no choice but to pursue every legal remedy available to me.</w:t>
      </w:r>
      <w:r>
        <w:rPr>
          <w:rFonts w:ascii="Times New Roman" w:cs="Times New Roman" w:eastAsia="Times New Roman" w:hAnsi="Times New Roman"/>
          <w:sz w:val="24"/>
          <w:szCs w:val="24"/>
        </w:rPr>
        <w:t xml:space="preserve"> Part II of this letter explains what those remedies are, and why the Association’s exposure is substantial.</w:t>
      </w:r>
    </w:p>
    <w:p>
      <w:pPr>
        <w:spacing w:line="276" w:lineRule="auto"/>
      </w:pPr>
      <w:r>
        <w:br w:type="page"/>
      </w:r>
    </w:p>
    <w:p>
      <w:pPr>
        <w:spacing w:before="480" w:after="240" w:line="276" w:lineRule="auto"/>
        <w:jc w:val="center"/>
        <w:keepNext/>
      </w:pPr>
      <w:r>
        <w:rPr>
          <w:rFonts w:ascii="Times New Roman" w:cs="Times New Roman" w:eastAsia="Times New Roman" w:hAnsi="Times New Roman"/>
          <w:b/>
          <w:bCs/>
          <w:sz w:val="28"/>
          <w:szCs w:val="28"/>
        </w:rPr>
        <w:t xml:space="preserve">REQUEST FOR INTERNAL DISPUTE RESOLUTION</w:t>
      </w:r>
    </w:p>
    <w:p>
      <w:pPr>
        <w:spacing w:after="200" w:before="0" w:line="276" w:lineRule="auto"/>
        <w:jc w:val="both"/>
        <w:keepNext/>
      </w:pPr>
      <w:r>
        <w:rPr>
          <w:rFonts w:ascii="Times New Roman" w:cs="Times New Roman" w:eastAsia="Times New Roman" w:hAnsi="Times New Roman"/>
          <w:sz w:val="24"/>
          <w:szCs w:val="24"/>
        </w:rPr>
        <w:t xml:space="preserve">Simultaneously with this demand letter, and pursuant to California Civil Code Sections 5910-5920, I hereby formally request </w:t>
      </w:r>
      <w:r>
        <w:rPr>
          <w:rFonts w:ascii="Times New Roman" w:cs="Times New Roman" w:eastAsia="Times New Roman" w:hAnsi="Times New Roman"/>
          <w:b/>
          <w:bCs/>
          <w:sz w:val="24"/>
          <w:szCs w:val="24"/>
        </w:rPr>
        <w:t xml:space="preserve">Internal Dispute Resolution (“IDR”)</w:t>
      </w:r>
      <w:r>
        <w:rPr>
          <w:rFonts w:ascii="Times New Roman" w:cs="Times New Roman" w:eastAsia="Times New Roman" w:hAnsi="Times New Roman"/>
          <w:sz w:val="24"/>
          <w:szCs w:val="24"/>
        </w:rPr>
        <w:t xml:space="preserve"> with the Association regarding the matters described in this letter.</w:t>
      </w:r>
    </w:p>
    <w:p>
      <w:pPr>
        <w:spacing w:after="200" w:before="0" w:line="276" w:lineRule="auto"/>
        <w:jc w:val="both"/>
        <w:keepNext/>
      </w:pPr>
      <w:r>
        <w:rPr>
          <w:rFonts w:ascii="Times New Roman" w:cs="Times New Roman" w:eastAsia="Times New Roman" w:hAnsi="Times New Roman"/>
          <w:sz w:val="24"/>
          <w:szCs w:val="24"/>
        </w:rPr>
        <w:t xml:space="preserve">Under Civil Code Section 5910(b), when a member of the Association requests IDR, the Association is </w:t>
      </w:r>
      <w:r>
        <w:rPr>
          <w:rFonts w:ascii="Times New Roman" w:cs="Times New Roman" w:eastAsia="Times New Roman" w:hAnsi="Times New Roman"/>
          <w:b/>
          <w:bCs/>
          <w:sz w:val="24"/>
          <w:szCs w:val="24"/>
        </w:rPr>
        <w:t xml:space="preserve">required to participate.</w:t>
      </w:r>
      <w:r>
        <w:rPr>
          <w:rFonts w:ascii="Times New Roman" w:cs="Times New Roman" w:eastAsia="Times New Roman" w:hAnsi="Times New Roman"/>
          <w:sz w:val="24"/>
          <w:szCs w:val="24"/>
        </w:rPr>
        <w:t xml:space="preserve"> I request that the IDR meeting be scheduled within fifteen (15) calendar days of receipt of this letter. I am available to meet in person at the Association’s offices or the offices of California HOA Solutions LLC, or by videoconference, at a mutually convenient time.</w:t>
      </w:r>
    </w:p>
    <w:p>
      <w:pPr>
        <w:spacing w:after="200" w:before="0" w:line="276" w:lineRule="auto"/>
        <w:jc w:val="both"/>
      </w:pPr>
      <w:r>
        <w:rPr>
          <w:rFonts w:ascii="Times New Roman" w:cs="Times New Roman" w:eastAsia="Times New Roman" w:hAnsi="Times New Roman"/>
          <w:sz w:val="24"/>
          <w:szCs w:val="24"/>
        </w:rPr>
        <w:t xml:space="preserve">The dispute to be addressed in IDR is the Association’s failure to maintain, repair, or replace the building’s roof (a common area), in violation of Civil Code Section 4775 and Article III, Section 6(A) of the CC&amp;Rs, resulting in chronic water intrusion into Unit 208, confirmed mold contamination at three times outdoor baseline levels, the unit becoming uninhabitable, lost rental income, and ongoing property damage.</w:t>
      </w:r>
    </w:p>
    <w:p>
      <w:pPr>
        <w:spacing w:after="200" w:before="0" w:line="276" w:lineRule="auto"/>
        <w:jc w:val="both"/>
      </w:pPr>
      <w:r>
        <w:rPr>
          <w:rFonts w:ascii="Times New Roman" w:cs="Times New Roman" w:eastAsia="Times New Roman" w:hAnsi="Times New Roman"/>
          <w:sz w:val="24"/>
          <w:szCs w:val="24"/>
        </w:rPr>
        <w:t xml:space="preserve">I am requesting IDR in good faith and with a genuine desire to resolve this matter without litigation. If IDR does not result in a satisfactory resolution, I reserve the right to serve a formal Request for Resolution under Civil Code Section 5935, initiating the Alternative Dispute Resolution (ADR) process required by Section 5930 before filing an enforcement action in superior court. I also reserve the right to seek emergency preliminary injunctive relief pursuant to Civil Code Section 5950(a)(3), which </w:t>
      </w:r>
      <w:r>
        <w:rPr>
          <w:rFonts w:ascii="Times New Roman" w:cs="Times New Roman" w:eastAsia="Times New Roman" w:hAnsi="Times New Roman"/>
          <w:i/>
          <w:iCs/>
          <w:sz w:val="24"/>
          <w:szCs w:val="24"/>
        </w:rPr>
        <w:t xml:space="preserve">does not</w:t>
      </w:r>
      <w:r>
        <w:rPr>
          <w:rFonts w:ascii="Times New Roman" w:cs="Times New Roman" w:eastAsia="Times New Roman" w:hAnsi="Times New Roman"/>
          <w:sz w:val="24"/>
          <w:szCs w:val="24"/>
        </w:rPr>
        <w:t xml:space="preserve"> require prior completion of ADR.</w:t>
      </w:r>
    </w:p>
    <w:p>
      <w:pPr>
        <w:spacing w:after="200" w:before="0" w:line="276" w:lineRule="auto"/>
        <w:jc w:val="both"/>
      </w:pPr>
      <w:r>
        <w:rPr>
          <w:rFonts w:ascii="Times New Roman" w:cs="Times New Roman" w:eastAsia="Times New Roman" w:hAnsi="Times New Roman"/>
          <w:sz w:val="24"/>
          <w:szCs w:val="24"/>
        </w:rPr>
        <w:t xml:space="preserve">Under Civil Code Section 5945, the running of any applicable statute of limitations is tolled during the period that a Request for Resolution under Section 5935 is pending.</w:t>
      </w:r>
    </w:p>
    <w:p>
      <w:pPr>
        <w:spacing w:line="276" w:lineRule="auto"/>
      </w:pPr>
      <w:r>
        <w:br w:type="page"/>
      </w:r>
    </w:p>
    <w:p>
      <w:pPr>
        <w:spacing w:before="480" w:after="240" w:line="276" w:lineRule="auto"/>
        <w:jc w:val="center"/>
        <w:keepNext/>
      </w:pPr>
      <w:r>
        <w:rPr>
          <w:rFonts w:ascii="Times New Roman" w:cs="Times New Roman" w:eastAsia="Times New Roman" w:hAnsi="Times New Roman"/>
          <w:b/>
          <w:bCs/>
          <w:sz w:val="28"/>
          <w:szCs w:val="28"/>
        </w:rPr>
        <w:t xml:space="preserve">PART II: LEGAL ANALYSIS AND CLAIMS</w:t>
      </w:r>
    </w:p>
    <w:p>
      <w:pPr>
        <w:spacing w:before="360" w:after="200" w:line="276" w:lineRule="auto"/>
        <w:jc w:val="left"/>
        <w:keepNext/>
      </w:pPr>
      <w:r>
        <w:rPr>
          <w:rFonts w:ascii="Times New Roman" w:cs="Times New Roman" w:eastAsia="Times New Roman" w:hAnsi="Times New Roman"/>
          <w:b/>
          <w:bCs/>
          <w:sz w:val="28"/>
          <w:szCs w:val="28"/>
          <w:u w:val="single"/>
        </w:rPr>
        <w:t xml:space="preserve">I. The Association’s Mandatory, Non-Discretionary Duty to Maintain the Roof</w:t>
      </w:r>
    </w:p>
    <w:p>
      <w:pPr>
        <w:spacing w:after="200" w:before="0" w:line="276" w:lineRule="auto"/>
        <w:jc w:val="both"/>
        <w:keepNext/>
      </w:pPr>
      <w:r>
        <w:rPr>
          <w:rFonts w:ascii="Times New Roman" w:cs="Times New Roman" w:eastAsia="Times New Roman" w:hAnsi="Times New Roman"/>
          <w:sz w:val="24"/>
          <w:szCs w:val="24"/>
        </w:rPr>
        <w:t xml:space="preserve">California Civil Code Section 4775(a)(1) imposes a non-discretionary, statutory duty on the Association: “Unless otherwise provided in the declaration of a common interest development, </w:t>
      </w:r>
      <w:r>
        <w:rPr>
          <w:rFonts w:ascii="Times New Roman" w:cs="Times New Roman" w:eastAsia="Times New Roman" w:hAnsi="Times New Roman"/>
          <w:b/>
          <w:bCs/>
          <w:sz w:val="24"/>
          <w:szCs w:val="24"/>
        </w:rPr>
        <w:t xml:space="preserve">the association is responsible for repairing, replacing, or maintaining the common area.”</w:t>
      </w:r>
      <w:r>
        <w:rPr>
          <w:rFonts w:ascii="Times New Roman" w:cs="Times New Roman" w:eastAsia="Times New Roman" w:hAnsi="Times New Roman"/>
          <w:sz w:val="24"/>
          <w:szCs w:val="24"/>
        </w:rPr>
        <w:t xml:space="preserve"> This duty is </w:t>
      </w:r>
      <w:r>
        <w:rPr>
          <w:rFonts w:ascii="Times New Roman" w:cs="Times New Roman" w:eastAsia="Times New Roman" w:hAnsi="Times New Roman"/>
          <w:i/>
          <w:iCs/>
          <w:sz w:val="24"/>
          <w:szCs w:val="24"/>
        </w:rPr>
        <w:t xml:space="preserve">mandatory</w:t>
      </w:r>
      <w:r>
        <w:rPr>
          <w:rFonts w:ascii="Times New Roman" w:cs="Times New Roman" w:eastAsia="Times New Roman" w:hAnsi="Times New Roman"/>
          <w:sz w:val="24"/>
          <w:szCs w:val="24"/>
        </w:rPr>
        <w:t xml:space="preserve">, not discretionary. It cannot be overridden by a membership vote, and it cannot be excused by insufficient reserves or budget constraints.</w:t>
      </w:r>
    </w:p>
    <w:p>
      <w:pPr>
        <w:spacing w:after="200" w:before="0" w:line="276" w:lineRule="auto"/>
        <w:jc w:val="both"/>
        <w:keepNext/>
      </w:pPr>
      <w:r>
        <w:rPr>
          <w:rFonts w:ascii="Times New Roman" w:cs="Times New Roman" w:eastAsia="Times New Roman" w:hAnsi="Times New Roman"/>
          <w:sz w:val="24"/>
          <w:szCs w:val="24"/>
        </w:rPr>
        <w:t xml:space="preserve">The roof is indisputably common area. Civil Code Section 4095(a) defines “common area” as the entire common interest development except the separate interests (individual units). Section 15 of the CC&amp;Rs explicitly excludes “bearing walls, columns, floors, </w:t>
      </w:r>
      <w:r>
        <w:rPr>
          <w:rFonts w:ascii="Times New Roman" w:cs="Times New Roman" w:eastAsia="Times New Roman" w:hAnsi="Times New Roman"/>
          <w:b/>
          <w:bCs/>
          <w:sz w:val="24"/>
          <w:szCs w:val="24"/>
        </w:rPr>
        <w:t xml:space="preserve">roofs</w:t>
      </w:r>
      <w:r>
        <w:rPr>
          <w:rFonts w:ascii="Times New Roman" w:cs="Times New Roman" w:eastAsia="Times New Roman" w:hAnsi="Times New Roman"/>
          <w:sz w:val="24"/>
          <w:szCs w:val="24"/>
        </w:rPr>
        <w:t xml:space="preserve">, foundations, common stairways and hallways, reservoirs, tanks, pumps, balcony surfaces, and other central services” from the definition of a Unit, confirming that these elements are common area components maintained by the Association.</w:t>
      </w:r>
    </w:p>
    <w:p>
      <w:pPr>
        <w:spacing w:after="200" w:before="0" w:line="276" w:lineRule="auto"/>
        <w:jc w:val="both"/>
        <w:keepNext/>
      </w:pPr>
      <w:r>
        <w:rPr>
          <w:rFonts w:ascii="Times New Roman" w:cs="Times New Roman" w:eastAsia="Times New Roman" w:hAnsi="Times New Roman"/>
          <w:sz w:val="24"/>
          <w:szCs w:val="24"/>
        </w:rPr>
        <w:t xml:space="preserve">Article III, Section 6(A) of the CC&amp;Rs reinforces this obligation in mandatory terms: “The Association, acting through the Board, </w:t>
      </w:r>
      <w:r>
        <w:rPr>
          <w:rFonts w:ascii="Times New Roman" w:cs="Times New Roman" w:eastAsia="Times New Roman" w:hAnsi="Times New Roman"/>
          <w:b/>
          <w:bCs/>
          <w:sz w:val="24"/>
          <w:szCs w:val="24"/>
        </w:rPr>
        <w:t xml:space="preserve">shall</w:t>
      </w:r>
      <w:r>
        <w:rPr>
          <w:rFonts w:ascii="Times New Roman" w:cs="Times New Roman" w:eastAsia="Times New Roman" w:hAnsi="Times New Roman"/>
          <w:sz w:val="24"/>
          <w:szCs w:val="24"/>
        </w:rPr>
        <w:t xml:space="preserve"> operate and maintain the Common Areas and the facilities located thereon; such duty shall include but shall not be limited to; exterior painting, </w:t>
      </w:r>
      <w:r>
        <w:rPr>
          <w:rFonts w:ascii="Times New Roman" w:cs="Times New Roman" w:eastAsia="Times New Roman" w:hAnsi="Times New Roman"/>
          <w:b/>
          <w:bCs/>
          <w:sz w:val="24"/>
          <w:szCs w:val="24"/>
        </w:rPr>
        <w:t xml:space="preserve">maintenance, repair</w:t>
      </w:r>
      <w:r>
        <w:rPr>
          <w:rFonts w:ascii="Times New Roman" w:cs="Times New Roman" w:eastAsia="Times New Roman" w:hAnsi="Times New Roman"/>
          <w:sz w:val="24"/>
          <w:szCs w:val="24"/>
        </w:rPr>
        <w:t xml:space="preserve">, and all of the landscaping of the Common Area.”</w:t>
      </w:r>
    </w:p>
    <w:p>
      <w:pPr>
        <w:spacing w:after="200" w:before="0" w:line="276" w:lineRule="auto"/>
        <w:jc w:val="both"/>
      </w:pPr>
      <w:r>
        <w:rPr>
          <w:rFonts w:ascii="Times New Roman" w:cs="Times New Roman" w:eastAsia="Times New Roman" w:hAnsi="Times New Roman"/>
          <w:sz w:val="24"/>
          <w:szCs w:val="24"/>
        </w:rPr>
        <w:t xml:space="preserve">Article V, Section 2 further confirms the maintenance division: “Except for those portions which the Association is required to maintain and repair, each Unit Owner shall, at his sole cost and expense, maintain and repair his Unit.” The roof is not part of any Unit. The roof is a common area component. The Association’s duty to maintain it is absolute.</w:t>
      </w:r>
    </w:p>
    <w:p>
      <w:pPr>
        <w:spacing w:after="200" w:before="0" w:line="276" w:lineRule="auto"/>
        <w:jc w:val="both"/>
        <w:keepNext/>
      </w:pPr>
      <w:r>
        <w:rPr>
          <w:rFonts w:ascii="Times New Roman" w:cs="Times New Roman" w:eastAsia="Times New Roman" w:hAnsi="Times New Roman"/>
          <w:sz w:val="24"/>
          <w:szCs w:val="24"/>
        </w:rPr>
        <w:t xml:space="preserve">Civil Code Section 5600 further mandates that the Association “shall levy regular and special assessments </w:t>
      </w:r>
      <w:r>
        <w:rPr>
          <w:rFonts w:ascii="Times New Roman" w:cs="Times New Roman" w:eastAsia="Times New Roman" w:hAnsi="Times New Roman"/>
          <w:b/>
          <w:bCs/>
          <w:sz w:val="24"/>
          <w:szCs w:val="24"/>
        </w:rPr>
        <w:t xml:space="preserve">sufficient to perform its obligations</w:t>
      </w:r>
      <w:r>
        <w:rPr>
          <w:rFonts w:ascii="Times New Roman" w:cs="Times New Roman" w:eastAsia="Times New Roman" w:hAnsi="Times New Roman"/>
          <w:sz w:val="24"/>
          <w:szCs w:val="24"/>
        </w:rPr>
        <w:t xml:space="preserve"> under the governing documents and this act.” The Association cannot excuse its failure to maintain the roof by pointing to a failed membership vote. The law requires the Association to </w:t>
      </w:r>
      <w:r>
        <w:rPr>
          <w:rFonts w:ascii="Times New Roman" w:cs="Times New Roman" w:eastAsia="Times New Roman" w:hAnsi="Times New Roman"/>
          <w:i/>
          <w:iCs/>
          <w:sz w:val="24"/>
          <w:szCs w:val="24"/>
        </w:rPr>
        <w:t xml:space="preserve">fund</w:t>
      </w:r>
      <w:r>
        <w:rPr>
          <w:rFonts w:ascii="Times New Roman" w:cs="Times New Roman" w:eastAsia="Times New Roman" w:hAnsi="Times New Roman"/>
          <w:sz w:val="24"/>
          <w:szCs w:val="24"/>
        </w:rPr>
        <w:t xml:space="preserve"> its obligations, not merely to attempt to fund them. The 20-9 vote means only that the Board must exercise its independent emergency assessment authority under § 5610 — it does not eliminate the underlying obligation.</w:t>
      </w:r>
    </w:p>
    <w:p>
      <w:pPr>
        <w:spacing w:after="200" w:before="0" w:line="276" w:lineRule="auto"/>
        <w:jc w:val="both"/>
      </w:pPr>
      <w:r>
        <w:rPr>
          <w:rFonts w:ascii="Times New Roman" w:cs="Times New Roman" w:eastAsia="Times New Roman" w:hAnsi="Times New Roman"/>
          <w:sz w:val="24"/>
          <w:szCs w:val="24"/>
        </w:rPr>
        <w:t xml:space="preserve">The leading California case law confirms this principle. In </w:t>
      </w:r>
      <w:r>
        <w:rPr>
          <w:rFonts w:ascii="Times New Roman" w:cs="Times New Roman" w:eastAsia="Times New Roman" w:hAnsi="Times New Roman"/>
          <w:i/>
          <w:iCs/>
          <w:sz w:val="24"/>
          <w:szCs w:val="24"/>
        </w:rPr>
        <w:t xml:space="preserve">Sands v. Walnut Gardens Condominium Association</w:t>
      </w:r>
      <w:r>
        <w:rPr>
          <w:rFonts w:ascii="Times New Roman" w:cs="Times New Roman" w:eastAsia="Times New Roman" w:hAnsi="Times New Roman"/>
          <w:sz w:val="24"/>
          <w:szCs w:val="24"/>
        </w:rPr>
        <w:t xml:space="preserve"> (2019) 35 Cal.App.5th 174, the Court of Appeal held an HOA liable for damages arising from its failure to maintain common area components, including a roof and pipes, emphasizing that the CC&amp;R obligation to maintain common areas created an enforceable duty. In </w:t>
      </w:r>
      <w:r>
        <w:rPr>
          <w:rFonts w:ascii="Times New Roman" w:cs="Times New Roman" w:eastAsia="Times New Roman" w:hAnsi="Times New Roman"/>
          <w:i/>
          <w:iCs/>
          <w:sz w:val="24"/>
          <w:szCs w:val="24"/>
        </w:rPr>
        <w:t xml:space="preserve">Dover Village Association v. Jennison</w:t>
      </w:r>
      <w:r>
        <w:rPr>
          <w:rFonts w:ascii="Times New Roman" w:cs="Times New Roman" w:eastAsia="Times New Roman" w:hAnsi="Times New Roman"/>
          <w:sz w:val="24"/>
          <w:szCs w:val="24"/>
        </w:rPr>
        <w:t xml:space="preserve"> (2010) 191 Cal.App.4th 123, the court held that judicial deference “does not extend to the Board’s interpretation as to the </w:t>
      </w:r>
      <w:r>
        <w:rPr>
          <w:rFonts w:ascii="Times New Roman" w:cs="Times New Roman" w:eastAsia="Times New Roman" w:hAnsi="Times New Roman"/>
          <w:i/>
          <w:iCs/>
          <w:sz w:val="24"/>
          <w:szCs w:val="24"/>
        </w:rPr>
        <w:t xml:space="preserve">scope</w:t>
      </w:r>
      <w:r>
        <w:rPr>
          <w:rFonts w:ascii="Times New Roman" w:cs="Times New Roman" w:eastAsia="Times New Roman" w:hAnsi="Times New Roman"/>
          <w:sz w:val="24"/>
          <w:szCs w:val="24"/>
        </w:rPr>
        <w:t xml:space="preserve"> of the HOA’s maintenance responsibilities under its CC&amp;Rs.”</w:t>
      </w:r>
    </w:p>
    <w:p>
      <w:pPr>
        <w:spacing w:before="360" w:after="200" w:line="276" w:lineRule="auto"/>
        <w:jc w:val="left"/>
        <w:keepNext/>
      </w:pPr>
      <w:r>
        <w:rPr>
          <w:rFonts w:ascii="Times New Roman" w:cs="Times New Roman" w:eastAsia="Times New Roman" w:hAnsi="Times New Roman"/>
          <w:b/>
          <w:bCs/>
          <w:sz w:val="28"/>
          <w:szCs w:val="28"/>
          <w:u w:val="single"/>
        </w:rPr>
        <w:t xml:space="preserve">II. SB 900 Provides Emergency Assessment Authority to Bypass the Failed Vote</w:t>
      </w:r>
    </w:p>
    <w:p>
      <w:pPr>
        <w:spacing w:after="200" w:before="0" w:line="276" w:lineRule="auto"/>
        <w:jc w:val="both"/>
      </w:pPr>
      <w:r>
        <w:rPr>
          <w:rFonts w:ascii="Times New Roman" w:cs="Times New Roman" w:eastAsia="Times New Roman" w:hAnsi="Times New Roman"/>
          <w:sz w:val="24"/>
          <w:szCs w:val="24"/>
        </w:rPr>
        <w:t xml:space="preserve">Senate Bill 900, signed by Governor Newsom in September 2024 and effective January 1, 2025, amended Civil Code Section 5610(b) in three critical respects. Before SB 900, the emergency assessment provision covered only “an extraordinary expense necessary to repair or maintain the common interest development… where a threat to personal </w:t>
      </w:r>
      <w:r>
        <w:rPr>
          <w:rFonts w:ascii="Times New Roman" w:cs="Times New Roman" w:eastAsia="Times New Roman" w:hAnsi="Times New Roman"/>
          <w:i/>
          <w:iCs/>
          <w:sz w:val="24"/>
          <w:szCs w:val="24"/>
        </w:rPr>
        <w:t xml:space="preserve">safety</w:t>
      </w:r>
      <w:r>
        <w:rPr>
          <w:rFonts w:ascii="Times New Roman" w:cs="Times New Roman" w:eastAsia="Times New Roman" w:hAnsi="Times New Roman"/>
          <w:sz w:val="24"/>
          <w:szCs w:val="24"/>
        </w:rPr>
        <w:t xml:space="preserve"> on the property is discovered.” The amended statute now reads:</w:t>
      </w:r>
    </w:p>
    <w:p>
      <w:pPr>
        <w:spacing w:after="200" w:before="0" w:line="276" w:lineRule="auto"/>
        <w:ind w:left="720"/>
        <w:jc w:val="both"/>
        <w:keepNext/>
      </w:pPr>
      <w:r>
        <w:rPr>
          <w:rFonts w:ascii="Times New Roman" w:cs="Times New Roman" w:eastAsia="Times New Roman" w:hAnsi="Times New Roman"/>
          <w:i/>
          <w:iCs/>
          <w:sz w:val="24"/>
          <w:szCs w:val="24"/>
        </w:rPr>
        <w:t xml:space="preserve">“An extraordinary expense necessary to </w:t>
      </w:r>
      <w:r>
        <w:rPr>
          <w:rFonts w:ascii="Times New Roman" w:cs="Times New Roman" w:eastAsia="Times New Roman" w:hAnsi="Times New Roman"/>
          <w:b/>
          <w:bCs/>
          <w:i/>
          <w:iCs/>
          <w:sz w:val="24"/>
          <w:szCs w:val="24"/>
        </w:rPr>
        <w:t xml:space="preserve">operate</w:t>
      </w:r>
      <w:r>
        <w:rPr>
          <w:rFonts w:ascii="Times New Roman" w:cs="Times New Roman" w:eastAsia="Times New Roman" w:hAnsi="Times New Roman"/>
          <w:i/>
          <w:iCs/>
          <w:sz w:val="24"/>
          <w:szCs w:val="24"/>
        </w:rPr>
        <w:t xml:space="preserve">, repair, or maintain the common interest development or any part of it for which the association is responsible where a threat to personal </w:t>
      </w:r>
      <w:r>
        <w:rPr>
          <w:rFonts w:ascii="Times New Roman" w:cs="Times New Roman" w:eastAsia="Times New Roman" w:hAnsi="Times New Roman"/>
          <w:b/>
          <w:bCs/>
          <w:i/>
          <w:iCs/>
          <w:sz w:val="24"/>
          <w:szCs w:val="24"/>
        </w:rPr>
        <w:t xml:space="preserve">health or safety or another hazardous condition or circumstance</w:t>
      </w:r>
      <w:r>
        <w:rPr>
          <w:rFonts w:ascii="Times New Roman" w:cs="Times New Roman" w:eastAsia="Times New Roman" w:hAnsi="Times New Roman"/>
          <w:i/>
          <w:iCs/>
          <w:sz w:val="24"/>
          <w:szCs w:val="24"/>
        </w:rPr>
        <w:t xml:space="preserve"> on the property is discovered.”</w:t>
      </w:r>
    </w:p>
    <w:p>
      <w:pPr>
        <w:spacing w:after="200" w:before="0" w:line="276" w:lineRule="auto"/>
        <w:jc w:val="both"/>
      </w:pPr>
      <w:r>
        <w:rPr>
          <w:rFonts w:ascii="Times New Roman" w:cs="Times New Roman" w:eastAsia="Times New Roman" w:hAnsi="Times New Roman"/>
          <w:sz w:val="24"/>
          <w:szCs w:val="24"/>
        </w:rPr>
        <w:t xml:space="preserve">The three additions — “operate,” “health,” and “another hazardous condition or circumstance” — are directly applicable to this case. Confirmed mold contamination at three times outdoor baseline levels, documented by an AIHA-accredited laboratory, constitutes a “threat to personal health” and a “hazardous condition” under the amended statute. Legal commentators have confirmed this interpretation; the SwedelsonGottlieb HOA Law Blog analysis of SB 900 (published November 6, 2024) specifically noted that the expanded language “may include airborne hazards such as mold and asbestos.”</w:t>
      </w:r>
    </w:p>
    <w:p>
      <w:pPr>
        <w:spacing w:after="200" w:before="0" w:line="276" w:lineRule="auto"/>
        <w:jc w:val="both"/>
        <w:keepNext/>
      </w:pPr>
      <w:r>
        <w:rPr>
          <w:rFonts w:ascii="Times New Roman" w:cs="Times New Roman" w:eastAsia="Times New Roman" w:hAnsi="Times New Roman"/>
          <w:sz w:val="24"/>
          <w:szCs w:val="24"/>
        </w:rPr>
        <w:t xml:space="preserve">Under amended § 5610, the Board may levy an emergency assessment of </w:t>
      </w:r>
      <w:r>
        <w:rPr>
          <w:rFonts w:ascii="Times New Roman" w:cs="Times New Roman" w:eastAsia="Times New Roman" w:hAnsi="Times New Roman"/>
          <w:b/>
          <w:bCs/>
          <w:sz w:val="24"/>
          <w:szCs w:val="24"/>
        </w:rPr>
        <w:t xml:space="preserve">any amount</w:t>
      </w:r>
      <w:r>
        <w:rPr>
          <w:rFonts w:ascii="Times New Roman" w:cs="Times New Roman" w:eastAsia="Times New Roman" w:hAnsi="Times New Roman"/>
          <w:sz w:val="24"/>
          <w:szCs w:val="24"/>
        </w:rPr>
        <w:t xml:space="preserve">, with </w:t>
      </w:r>
      <w:r>
        <w:rPr>
          <w:rFonts w:ascii="Times New Roman" w:cs="Times New Roman" w:eastAsia="Times New Roman" w:hAnsi="Times New Roman"/>
          <w:b/>
          <w:bCs/>
          <w:sz w:val="24"/>
          <w:szCs w:val="24"/>
        </w:rPr>
        <w:t xml:space="preserve">no member vote required</w:t>
      </w:r>
      <w:r>
        <w:rPr>
          <w:rFonts w:ascii="Times New Roman" w:cs="Times New Roman" w:eastAsia="Times New Roman" w:hAnsi="Times New Roman"/>
          <w:sz w:val="24"/>
          <w:szCs w:val="24"/>
        </w:rPr>
        <w:t xml:space="preserve"> and </w:t>
      </w:r>
      <w:r>
        <w:rPr>
          <w:rFonts w:ascii="Times New Roman" w:cs="Times New Roman" w:eastAsia="Times New Roman" w:hAnsi="Times New Roman"/>
          <w:b/>
          <w:bCs/>
          <w:sz w:val="24"/>
          <w:szCs w:val="24"/>
        </w:rPr>
        <w:t xml:space="preserve">no dollar cap.</w:t>
      </w:r>
      <w:r>
        <w:rPr>
          <w:rFonts w:ascii="Times New Roman" w:cs="Times New Roman" w:eastAsia="Times New Roman" w:hAnsi="Times New Roman"/>
          <w:sz w:val="24"/>
          <w:szCs w:val="24"/>
        </w:rPr>
        <w:t xml:space="preserve"> The sole procedural requirement is that the Board pass a resolution containing written findings as to the necessity of the extraordinary expense, and that notice of the assessment be given 30-60 days before it becomes due (§ 5615). The Board’s </w:t>
      </w:r>
      <w:r>
        <w:rPr>
          <w:rFonts w:ascii="Times New Roman" w:cs="Times New Roman" w:eastAsia="Times New Roman" w:hAnsi="Times New Roman"/>
          <w:i/>
          <w:iCs/>
          <w:sz w:val="24"/>
          <w:szCs w:val="24"/>
        </w:rPr>
        <w:t xml:space="preserve">failure</w:t>
      </w:r>
      <w:r>
        <w:rPr>
          <w:rFonts w:ascii="Times New Roman" w:cs="Times New Roman" w:eastAsia="Times New Roman" w:hAnsi="Times New Roman"/>
          <w:sz w:val="24"/>
          <w:szCs w:val="24"/>
        </w:rPr>
        <w:t xml:space="preserve"> to exercise this emergency authority despite documented evidence of a health hazard constitutes evidence of bad faith, willful disregard, and breach of fiduciary duty.</w:t>
      </w:r>
    </w:p>
    <w:p>
      <w:pPr>
        <w:spacing w:before="360" w:after="200" w:line="276" w:lineRule="auto"/>
        <w:jc w:val="left"/>
        <w:keepNext/>
      </w:pPr>
      <w:r>
        <w:rPr>
          <w:rFonts w:ascii="Times New Roman" w:cs="Times New Roman" w:eastAsia="Times New Roman" w:hAnsi="Times New Roman"/>
          <w:b/>
          <w:bCs/>
          <w:sz w:val="28"/>
          <w:szCs w:val="28"/>
          <w:u w:val="single"/>
        </w:rPr>
        <w:t xml:space="preserve">III. Causes of Action</w:t>
      </w:r>
    </w:p>
    <w:p>
      <w:pPr>
        <w:spacing w:before="240" w:after="160" w:line="276" w:lineRule="auto"/>
        <w:jc w:val="left"/>
        <w:keepNext/>
      </w:pPr>
      <w:r>
        <w:rPr>
          <w:rFonts w:ascii="Times New Roman" w:cs="Times New Roman" w:eastAsia="Times New Roman" w:hAnsi="Times New Roman"/>
          <w:b/>
          <w:bCs/>
          <w:i/>
          <w:iCs/>
          <w:sz w:val="24"/>
          <w:szCs w:val="24"/>
        </w:rPr>
        <w:t xml:space="preserve">A. Breach of CC&amp;Rs / Enforcement of Governing Documents (Civil Code § 5975)</w:t>
      </w:r>
    </w:p>
    <w:p>
      <w:pPr>
        <w:spacing w:after="200" w:before="0" w:line="276" w:lineRule="auto"/>
        <w:jc w:val="both"/>
      </w:pPr>
      <w:r>
        <w:rPr>
          <w:rFonts w:ascii="Times New Roman" w:cs="Times New Roman" w:eastAsia="Times New Roman" w:hAnsi="Times New Roman"/>
          <w:sz w:val="24"/>
          <w:szCs w:val="24"/>
        </w:rPr>
        <w:t xml:space="preserve">The CC&amp;Rs constitute enforceable equitable servitudes binding on the Association and all owners. Civil Code Section 5975(a) provides that the covenants and restrictions in the declaration “shall be enforceable equitable servitudes” that may be enforced “by any owner of a separate interest or by the association, or by both.” The Association’s ongoing failure to maintain, repair, or replace the roof — in express violation of Article III, Section 6(A) of the CC&amp;Rs and Civil Code § 4775 — constitutes a continuing breach of the governing documents.</w:t>
      </w:r>
    </w:p>
    <w:p>
      <w:pPr>
        <w:spacing w:after="200" w:before="0" w:line="276" w:lineRule="auto"/>
        <w:jc w:val="both"/>
        <w:keepNext/>
      </w:pPr>
      <w:r>
        <w:rPr>
          <w:rFonts w:ascii="Times New Roman" w:cs="Times New Roman" w:eastAsia="Times New Roman" w:hAnsi="Times New Roman"/>
          <w:sz w:val="24"/>
          <w:szCs w:val="24"/>
        </w:rPr>
        <w:t xml:space="preserve">The statute of limitations for violation of a restriction (as defined in Civil Code § 784) is </w:t>
      </w:r>
      <w:r>
        <w:rPr>
          <w:rFonts w:ascii="Times New Roman" w:cs="Times New Roman" w:eastAsia="Times New Roman" w:hAnsi="Times New Roman"/>
          <w:b/>
          <w:bCs/>
          <w:sz w:val="24"/>
          <w:szCs w:val="24"/>
        </w:rPr>
        <w:t xml:space="preserve">five (5) years</w:t>
      </w:r>
      <w:r>
        <w:rPr>
          <w:rFonts w:ascii="Times New Roman" w:cs="Times New Roman" w:eastAsia="Times New Roman" w:hAnsi="Times New Roman"/>
          <w:sz w:val="24"/>
          <w:szCs w:val="24"/>
        </w:rPr>
        <w:t xml:space="preserve"> from discovery under Code of Civil Procedure § 336(b). </w:t>
      </w:r>
      <w:r>
        <w:rPr>
          <w:rFonts w:ascii="Times New Roman" w:cs="Times New Roman" w:eastAsia="Times New Roman" w:hAnsi="Times New Roman"/>
          <w:i/>
          <w:iCs/>
          <w:sz w:val="24"/>
          <w:szCs w:val="24"/>
        </w:rPr>
        <w:t xml:space="preserve">Pacific Hills HOA v. Prun</w:t>
      </w:r>
      <w:r>
        <w:rPr>
          <w:rFonts w:ascii="Times New Roman" w:cs="Times New Roman" w:eastAsia="Times New Roman" w:hAnsi="Times New Roman"/>
          <w:sz w:val="24"/>
          <w:szCs w:val="24"/>
        </w:rPr>
        <w:t xml:space="preserve"> (2008) 160 Cal.App.4th 1557 confirmed this five-year period applies. The continuing breach doctrine means each day the Association fails to maintain the roof constitutes a new, independently actionable violation. Under </w:t>
      </w:r>
      <w:r>
        <w:rPr>
          <w:rFonts w:ascii="Times New Roman" w:cs="Times New Roman" w:eastAsia="Times New Roman" w:hAnsi="Times New Roman"/>
          <w:i/>
          <w:iCs/>
          <w:sz w:val="24"/>
          <w:szCs w:val="24"/>
        </w:rPr>
        <w:t xml:space="preserve">Posey v. Leavitt</w:t>
      </w:r>
      <w:r>
        <w:rPr>
          <w:rFonts w:ascii="Times New Roman" w:cs="Times New Roman" w:eastAsia="Times New Roman" w:hAnsi="Times New Roman"/>
          <w:sz w:val="24"/>
          <w:szCs w:val="24"/>
        </w:rPr>
        <w:t xml:space="preserve"> (1991) 229 Cal.App.3d 1236, “a homeowner can sue the association for damages and an injunction to compel the association to enforce the provisions of the [CC&amp;Rs].”</w:t>
      </w:r>
    </w:p>
    <w:p>
      <w:pPr>
        <w:spacing w:before="240" w:after="160" w:line="276" w:lineRule="auto"/>
        <w:jc w:val="left"/>
        <w:keepNext/>
      </w:pPr>
      <w:r>
        <w:rPr>
          <w:rFonts w:ascii="Times New Roman" w:cs="Times New Roman" w:eastAsia="Times New Roman" w:hAnsi="Times New Roman"/>
          <w:b/>
          <w:bCs/>
          <w:i/>
          <w:iCs/>
          <w:sz w:val="24"/>
          <w:szCs w:val="24"/>
        </w:rPr>
        <w:t xml:space="preserve">B. Breach of Fiduciary Duty</w:t>
      </w:r>
    </w:p>
    <w:p>
      <w:pPr>
        <w:spacing w:after="200" w:before="0" w:line="276" w:lineRule="auto"/>
        <w:jc w:val="both"/>
        <w:keepNext/>
      </w:pPr>
      <w:r>
        <w:rPr>
          <w:rFonts w:ascii="Times New Roman" w:cs="Times New Roman" w:eastAsia="Times New Roman" w:hAnsi="Times New Roman"/>
          <w:sz w:val="24"/>
          <w:szCs w:val="24"/>
        </w:rPr>
        <w:t xml:space="preserve">HOA directors owe fiduciary duties of care and loyalty under Corporations Code Section 7231 and the common law. In the seminal decision </w:t>
      </w:r>
      <w:r>
        <w:rPr>
          <w:rFonts w:ascii="Times New Roman" w:cs="Times New Roman" w:eastAsia="Times New Roman" w:hAnsi="Times New Roman"/>
          <w:i/>
          <w:iCs/>
          <w:sz w:val="24"/>
          <w:szCs w:val="24"/>
        </w:rPr>
        <w:t xml:space="preserve">Frances T. v. Village Green Owners Assn.</w:t>
      </w:r>
      <w:r>
        <w:rPr>
          <w:rFonts w:ascii="Times New Roman" w:cs="Times New Roman" w:eastAsia="Times New Roman" w:hAnsi="Times New Roman"/>
          <w:sz w:val="24"/>
          <w:szCs w:val="24"/>
        </w:rPr>
        <w:t xml:space="preserve"> (1986) 42 Cal.3d 490, the California Supreme Court held that an HOA bears “a duty similar to that of a landlord” regarding common areas and that individual board members can be held </w:t>
      </w:r>
      <w:r>
        <w:rPr>
          <w:rFonts w:ascii="Times New Roman" w:cs="Times New Roman" w:eastAsia="Times New Roman" w:hAnsi="Times New Roman"/>
          <w:b/>
          <w:bCs/>
          <w:sz w:val="24"/>
          <w:szCs w:val="24"/>
        </w:rPr>
        <w:t xml:space="preserve">personally liable</w:t>
      </w:r>
      <w:r>
        <w:rPr>
          <w:rFonts w:ascii="Times New Roman" w:cs="Times New Roman" w:eastAsia="Times New Roman" w:hAnsi="Times New Roman"/>
          <w:sz w:val="24"/>
          <w:szCs w:val="24"/>
        </w:rPr>
        <w:t xml:space="preserve"> for negligent conduct regarding common area safety. The Court specifically found that board members who “affirmatively participated in the action or inaction which resulted in the personal injury” were not shielded by the corporate form.</w:t>
      </w:r>
    </w:p>
    <w:p>
      <w:pPr>
        <w:spacing w:after="200" w:before="0" w:line="276" w:lineRule="auto"/>
        <w:jc w:val="both"/>
      </w:pPr>
      <w:r>
        <w:rPr>
          <w:rFonts w:ascii="Times New Roman" w:cs="Times New Roman" w:eastAsia="Times New Roman" w:hAnsi="Times New Roman"/>
          <w:sz w:val="24"/>
          <w:szCs w:val="24"/>
        </w:rPr>
        <w:t xml:space="preserve">The business judgment rule under </w:t>
      </w:r>
      <w:r>
        <w:rPr>
          <w:rFonts w:ascii="Times New Roman" w:cs="Times New Roman" w:eastAsia="Times New Roman" w:hAnsi="Times New Roman"/>
          <w:i/>
          <w:iCs/>
          <w:sz w:val="24"/>
          <w:szCs w:val="24"/>
        </w:rPr>
        <w:t xml:space="preserve">Lamden v. La Jolla Shores Clubdominium HOA</w:t>
      </w:r>
      <w:r>
        <w:rPr>
          <w:rFonts w:ascii="Times New Roman" w:cs="Times New Roman" w:eastAsia="Times New Roman" w:hAnsi="Times New Roman"/>
          <w:sz w:val="24"/>
          <w:szCs w:val="24"/>
        </w:rPr>
        <w:t xml:space="preserve"> (1999) 21 Cal.4th 249 does </w:t>
      </w:r>
      <w:r>
        <w:rPr>
          <w:rFonts w:ascii="Times New Roman" w:cs="Times New Roman" w:eastAsia="Times New Roman" w:hAnsi="Times New Roman"/>
          <w:i/>
          <w:iCs/>
          <w:sz w:val="24"/>
          <w:szCs w:val="24"/>
        </w:rPr>
        <w:t xml:space="preserve">not</w:t>
      </w:r>
      <w:r>
        <w:rPr>
          <w:rFonts w:ascii="Times New Roman" w:cs="Times New Roman" w:eastAsia="Times New Roman" w:hAnsi="Times New Roman"/>
          <w:sz w:val="24"/>
          <w:szCs w:val="24"/>
        </w:rPr>
        <w:t xml:space="preserve"> protect this Board. </w:t>
      </w:r>
      <w:r>
        <w:rPr>
          <w:rFonts w:ascii="Times New Roman" w:cs="Times New Roman" w:eastAsia="Times New Roman" w:hAnsi="Times New Roman"/>
          <w:i/>
          <w:iCs/>
          <w:sz w:val="24"/>
          <w:szCs w:val="24"/>
        </w:rPr>
        <w:t xml:space="preserve">Lamden</w:t>
      </w:r>
      <w:r>
        <w:rPr>
          <w:rFonts w:ascii="Times New Roman" w:cs="Times New Roman" w:eastAsia="Times New Roman" w:hAnsi="Times New Roman"/>
          <w:sz w:val="24"/>
          <w:szCs w:val="24"/>
        </w:rPr>
        <w:t xml:space="preserve"> provides deference only for discretionary decisions among reasonable alternatives — not for outright refusal to perform a mandatory statutory duty. </w:t>
      </w:r>
      <w:r>
        <w:rPr>
          <w:rFonts w:ascii="Times New Roman" w:cs="Times New Roman" w:eastAsia="Times New Roman" w:hAnsi="Times New Roman"/>
          <w:i/>
          <w:iCs/>
          <w:sz w:val="24"/>
          <w:szCs w:val="24"/>
        </w:rPr>
        <w:t xml:space="preserve">Dover Village Association v. Jennison</w:t>
      </w:r>
      <w:r>
        <w:rPr>
          <w:rFonts w:ascii="Times New Roman" w:cs="Times New Roman" w:eastAsia="Times New Roman" w:hAnsi="Times New Roman"/>
          <w:sz w:val="24"/>
          <w:szCs w:val="24"/>
        </w:rPr>
        <w:t xml:space="preserve"> (2010) 191 Cal.App.4th 123 confirmed that judicial deference does not extend to the Board’s interpretation of the scope of its maintenance obligations. And in </w:t>
      </w:r>
      <w:r>
        <w:rPr>
          <w:rFonts w:ascii="Times New Roman" w:cs="Times New Roman" w:eastAsia="Times New Roman" w:hAnsi="Times New Roman"/>
          <w:i/>
          <w:iCs/>
          <w:sz w:val="24"/>
          <w:szCs w:val="24"/>
        </w:rPr>
        <w:t xml:space="preserve">Ridley v. Rancho Palma Grande Homeowners Assn.</w:t>
      </w:r>
      <w:r>
        <w:rPr>
          <w:rFonts w:ascii="Times New Roman" w:cs="Times New Roman" w:eastAsia="Times New Roman" w:hAnsi="Times New Roman"/>
          <w:sz w:val="24"/>
          <w:szCs w:val="24"/>
        </w:rPr>
        <w:t xml:space="preserve"> (Cal. Ct. App. 2025), the court held that bad faith — including failure to investigate known problems and failure to act on expert recommendations — strips all deference protections.</w:t>
      </w:r>
    </w:p>
    <w:p>
      <w:pPr>
        <w:spacing w:after="200" w:before="0" w:line="276" w:lineRule="auto"/>
        <w:jc w:val="both"/>
      </w:pPr>
      <w:r>
        <w:rPr>
          <w:rFonts w:ascii="Times New Roman" w:cs="Times New Roman" w:eastAsia="Times New Roman" w:hAnsi="Times New Roman"/>
          <w:sz w:val="24"/>
          <w:szCs w:val="24"/>
        </w:rPr>
        <w:t xml:space="preserve">The statute of limitations for breach of fiduciary duty is four (4) years under the residual statute of limitations (CCP § 343), or three (3) years if characterized as constructive fraud (CCP § 338(d)). Under the discovery rule, the limitations period begins when the plaintiff knew or should have known of the breach.</w:t>
      </w:r>
    </w:p>
    <w:p>
      <w:pPr>
        <w:spacing w:before="240" w:after="160" w:line="276" w:lineRule="auto"/>
        <w:jc w:val="left"/>
        <w:keepNext/>
      </w:pPr>
      <w:r>
        <w:rPr>
          <w:rFonts w:ascii="Times New Roman" w:cs="Times New Roman" w:eastAsia="Times New Roman" w:hAnsi="Times New Roman"/>
          <w:b/>
          <w:bCs/>
          <w:i/>
          <w:iCs/>
          <w:sz w:val="24"/>
          <w:szCs w:val="24"/>
        </w:rPr>
        <w:t xml:space="preserve">C. Negligence</w:t>
      </w:r>
    </w:p>
    <w:p>
      <w:pPr>
        <w:spacing w:after="200" w:before="0" w:line="276" w:lineRule="auto"/>
        <w:jc w:val="both"/>
      </w:pPr>
      <w:r>
        <w:rPr>
          <w:rFonts w:ascii="Times New Roman" w:cs="Times New Roman" w:eastAsia="Times New Roman" w:hAnsi="Times New Roman"/>
          <w:i/>
          <w:iCs/>
          <w:sz w:val="24"/>
          <w:szCs w:val="24"/>
        </w:rPr>
        <w:t xml:space="preserve">Frances T.</w:t>
      </w:r>
      <w:r>
        <w:rPr>
          <w:rFonts w:ascii="Times New Roman" w:cs="Times New Roman" w:eastAsia="Times New Roman" w:hAnsi="Times New Roman"/>
          <w:sz w:val="24"/>
          <w:szCs w:val="24"/>
        </w:rPr>
        <w:t xml:space="preserve"> (1986) 42 Cal.3d 490 established the HOA’s independent tort duty of care regarding the safety of common areas. The Association knew or should have known about the leaking roof, received a written maintenance request on October 14, 2025 from Unit 208 specifically identifying the ceiling leakage and mold buildup as a “health hazard,” had access to professional mold test results documenting contamination at three times outdoor levels, and failed to take any corrective action. This constitutes a breach of the duty of care proximately causing property damage, loss of use, economic harm, and potential personal injury from mold exposure. The statute of limitations is two (2) years under CCP § 335.1.</w:t>
      </w:r>
    </w:p>
    <w:p>
      <w:pPr>
        <w:spacing w:before="240" w:after="160" w:line="276" w:lineRule="auto"/>
        <w:jc w:val="left"/>
        <w:keepNext/>
      </w:pPr>
      <w:r>
        <w:rPr>
          <w:rFonts w:ascii="Times New Roman" w:cs="Times New Roman" w:eastAsia="Times New Roman" w:hAnsi="Times New Roman"/>
          <w:b/>
          <w:bCs/>
          <w:i/>
          <w:iCs/>
          <w:sz w:val="24"/>
          <w:szCs w:val="24"/>
        </w:rPr>
        <w:t xml:space="preserve">D. Nuisance (Civil Code §§ 3479-3503)</w:t>
      </w:r>
    </w:p>
    <w:p>
      <w:pPr>
        <w:spacing w:after="200" w:before="0" w:line="276" w:lineRule="auto"/>
        <w:jc w:val="both"/>
        <w:keepNext/>
      </w:pPr>
      <w:r>
        <w:rPr>
          <w:rFonts w:ascii="Times New Roman" w:cs="Times New Roman" w:eastAsia="Times New Roman" w:hAnsi="Times New Roman"/>
          <w:sz w:val="24"/>
          <w:szCs w:val="24"/>
        </w:rPr>
        <w:t xml:space="preserve">Mold contamination at three times outdoor baseline levels constitutes both an interference with the “comfortable enjoyment of life or property” and a condition “injurious to health” under Civil Code Section 3479. This is a </w:t>
      </w:r>
      <w:r>
        <w:rPr>
          <w:rFonts w:ascii="Times New Roman" w:cs="Times New Roman" w:eastAsia="Times New Roman" w:hAnsi="Times New Roman"/>
          <w:b/>
          <w:bCs/>
          <w:sz w:val="24"/>
          <w:szCs w:val="24"/>
        </w:rPr>
        <w:t xml:space="preserve">continuing nuisance</w:t>
      </w:r>
      <w:r>
        <w:rPr>
          <w:rFonts w:ascii="Times New Roman" w:cs="Times New Roman" w:eastAsia="Times New Roman" w:hAnsi="Times New Roman"/>
          <w:sz w:val="24"/>
          <w:szCs w:val="24"/>
        </w:rPr>
        <w:t xml:space="preserve"> — it can be abated by repairing the roof and remediating the mold. Under </w:t>
      </w:r>
      <w:r>
        <w:rPr>
          <w:rFonts w:ascii="Times New Roman" w:cs="Times New Roman" w:eastAsia="Times New Roman" w:hAnsi="Times New Roman"/>
          <w:i/>
          <w:iCs/>
          <w:sz w:val="24"/>
          <w:szCs w:val="24"/>
        </w:rPr>
        <w:t xml:space="preserve">Baker v. Burbank-Glendale-Pasadena Airport Authority</w:t>
      </w:r>
      <w:r>
        <w:rPr>
          <w:rFonts w:ascii="Times New Roman" w:cs="Times New Roman" w:eastAsia="Times New Roman" w:hAnsi="Times New Roman"/>
          <w:sz w:val="24"/>
          <w:szCs w:val="24"/>
        </w:rPr>
        <w:t xml:space="preserve"> (1985) 39 Cal.3d 862, a continuing nuisance has effectively no statute of limitations because each day of its continued existence constitutes a new actionable wrong. Civil Code Section 3490 provides that “no lapse of time can legalize a public nuisance.” The systemic roof failure affecting at least 9 of 29 units in the building supports both private nuisance (Jose’s individual harm) and public nuisance (affecting a substantial number of residents) theories.</w:t>
      </w:r>
    </w:p>
    <w:p>
      <w:pPr>
        <w:spacing w:before="240" w:after="160" w:line="276" w:lineRule="auto"/>
        <w:jc w:val="left"/>
        <w:keepNext/>
      </w:pPr>
      <w:r>
        <w:rPr>
          <w:rFonts w:ascii="Times New Roman" w:cs="Times New Roman" w:eastAsia="Times New Roman" w:hAnsi="Times New Roman"/>
          <w:b/>
          <w:bCs/>
          <w:i/>
          <w:iCs/>
          <w:sz w:val="24"/>
          <w:szCs w:val="24"/>
        </w:rPr>
        <w:t xml:space="preserve">E. Property Damage, Declaratory Relief, Injunctive Relief, and Personal Injury</w:t>
      </w:r>
    </w:p>
    <w:p>
      <w:pPr>
        <w:spacing w:after="200" w:before="0" w:line="276" w:lineRule="auto"/>
        <w:jc w:val="both"/>
        <w:keepNext/>
      </w:pPr>
      <w:r>
        <w:rPr>
          <w:rFonts w:ascii="Times New Roman" w:cs="Times New Roman" w:eastAsia="Times New Roman" w:hAnsi="Times New Roman"/>
          <w:sz w:val="24"/>
          <w:szCs w:val="24"/>
        </w:rPr>
        <w:t xml:space="preserve">I intend to pursue claims for: </w:t>
      </w:r>
      <w:r>
        <w:rPr>
          <w:rFonts w:ascii="Times New Roman" w:cs="Times New Roman" w:eastAsia="Times New Roman" w:hAnsi="Times New Roman"/>
          <w:b/>
          <w:bCs/>
          <w:sz w:val="24"/>
          <w:szCs w:val="24"/>
        </w:rPr>
        <w:t xml:space="preserve">property damage</w:t>
      </w:r>
      <w:r>
        <w:rPr>
          <w:rFonts w:ascii="Times New Roman" w:cs="Times New Roman" w:eastAsia="Times New Roman" w:hAnsi="Times New Roman"/>
          <w:sz w:val="24"/>
          <w:szCs w:val="24"/>
        </w:rPr>
        <w:t xml:space="preserve"> (CCP § 338(b), three-year SOL) for physical damage to the interior of Unit 208 caused by water intrusion and mold; </w:t>
      </w:r>
      <w:r>
        <w:rPr>
          <w:rFonts w:ascii="Times New Roman" w:cs="Times New Roman" w:eastAsia="Times New Roman" w:hAnsi="Times New Roman"/>
          <w:b/>
          <w:bCs/>
          <w:sz w:val="24"/>
          <w:szCs w:val="24"/>
        </w:rPr>
        <w:t xml:space="preserve">declaratory relief</w:t>
      </w:r>
      <w:r>
        <w:rPr>
          <w:rFonts w:ascii="Times New Roman" w:cs="Times New Roman" w:eastAsia="Times New Roman" w:hAnsi="Times New Roman"/>
          <w:sz w:val="24"/>
          <w:szCs w:val="24"/>
        </w:rPr>
        <w:t xml:space="preserve"> (CCP § 1060) establishing the Association’s obligations to maintain the roof, exercise emergency assessment authority, and remediate the mold damage; and </w:t>
      </w:r>
      <w:r>
        <w:rPr>
          <w:rFonts w:ascii="Times New Roman" w:cs="Times New Roman" w:eastAsia="Times New Roman" w:hAnsi="Times New Roman"/>
          <w:b/>
          <w:bCs/>
          <w:sz w:val="24"/>
          <w:szCs w:val="24"/>
        </w:rPr>
        <w:t xml:space="preserve">injunctive relief</w:t>
      </w:r>
      <w:r>
        <w:rPr>
          <w:rFonts w:ascii="Times New Roman" w:cs="Times New Roman" w:eastAsia="Times New Roman" w:hAnsi="Times New Roman"/>
          <w:sz w:val="24"/>
          <w:szCs w:val="24"/>
        </w:rPr>
        <w:t xml:space="preserve"> (mandatory injunction) compelling the Association to immediately repair the roof and fund professional mold remediation. Declaratory and injunctive relief are equitable remedies with no independent statute of limitations.</w:t>
      </w:r>
    </w:p>
    <w:p>
      <w:pPr>
        <w:spacing w:after="200" w:before="0" w:line="276" w:lineRule="auto"/>
        <w:jc w:val="both"/>
      </w:pPr>
      <w:r>
        <w:rPr>
          <w:rFonts w:ascii="Times New Roman" w:cs="Times New Roman" w:eastAsia="Times New Roman" w:hAnsi="Times New Roman"/>
          <w:sz w:val="24"/>
          <w:szCs w:val="24"/>
        </w:rPr>
        <w:t xml:space="preserve">If I, my family members, or any prior occupant of Unit 208 has suffered health effects from the mold exposure — including but not limited to respiratory illness, allergic reactions, headaches, or exacerbation of asthma — personal injury claims will also be pursued. The statute of limitations for personal injury is two (2) years from discovery under CCP § 335.1. Aspergillus and Penicillium species are well-documented causes of allergic bronchopulmonary aspergillosis (ABPA), chronic respiratory conditions, and, in immunocompromised individuals, invasive infections that can be fatal. Alternaria exposure is specifically associated with life-threatening asthma exacerbations.</w:t>
      </w:r>
    </w:p>
    <w:p>
      <w:pPr>
        <w:spacing w:before="360" w:after="200" w:line="276" w:lineRule="auto"/>
        <w:jc w:val="left"/>
        <w:keepNext/>
      </w:pPr>
      <w:r>
        <w:rPr>
          <w:rFonts w:ascii="Times New Roman" w:cs="Times New Roman" w:eastAsia="Times New Roman" w:hAnsi="Times New Roman"/>
          <w:b/>
          <w:bCs/>
          <w:sz w:val="28"/>
          <w:szCs w:val="28"/>
          <w:u w:val="single"/>
        </w:rPr>
        <w:t xml:space="preserve">IV. The Ridley Precedent</w:t>
      </w:r>
    </w:p>
    <w:p>
      <w:pPr>
        <w:spacing w:after="200" w:before="0" w:line="276" w:lineRule="auto"/>
        <w:jc w:val="both"/>
        <w:keepNext/>
      </w:pPr>
      <w:r>
        <w:rPr>
          <w:rFonts w:ascii="Times New Roman" w:cs="Times New Roman" w:eastAsia="Times New Roman" w:hAnsi="Times New Roman"/>
          <w:sz w:val="24"/>
          <w:szCs w:val="24"/>
        </w:rPr>
        <w:t xml:space="preserve">The Board should be aware of </w:t>
      </w:r>
      <w:r>
        <w:rPr>
          <w:rFonts w:ascii="Times New Roman" w:cs="Times New Roman" w:eastAsia="Times New Roman" w:hAnsi="Times New Roman"/>
          <w:i/>
          <w:iCs/>
          <w:sz w:val="24"/>
          <w:szCs w:val="24"/>
        </w:rPr>
        <w:t xml:space="preserve">Ridley v. Rancho Palma Grande Homeowners Association</w:t>
      </w:r>
      <w:r>
        <w:rPr>
          <w:rFonts w:ascii="Times New Roman" w:cs="Times New Roman" w:eastAsia="Times New Roman" w:hAnsi="Times New Roman"/>
          <w:sz w:val="24"/>
          <w:szCs w:val="24"/>
        </w:rPr>
        <w:t xml:space="preserve"> (Cal. Ct. App. 2025), a California Court of Appeal decision issued this year on facts </w:t>
      </w:r>
      <w:r>
        <w:rPr>
          <w:rFonts w:ascii="Times New Roman" w:cs="Times New Roman" w:eastAsia="Times New Roman" w:hAnsi="Times New Roman"/>
          <w:b/>
          <w:bCs/>
          <w:sz w:val="24"/>
          <w:szCs w:val="24"/>
        </w:rPr>
        <w:t xml:space="preserve">remarkably similar to this case.</w:t>
      </w:r>
      <w:r>
        <w:rPr>
          <w:rFonts w:ascii="Times New Roman" w:cs="Times New Roman" w:eastAsia="Times New Roman" w:hAnsi="Times New Roman"/>
          <w:sz w:val="24"/>
          <w:szCs w:val="24"/>
        </w:rPr>
        <w:t xml:space="preserve"> In </w:t>
      </w:r>
      <w:r>
        <w:rPr>
          <w:rFonts w:ascii="Times New Roman" w:cs="Times New Roman" w:eastAsia="Times New Roman" w:hAnsi="Times New Roman"/>
          <w:i/>
          <w:iCs/>
          <w:sz w:val="24"/>
          <w:szCs w:val="24"/>
        </w:rPr>
        <w:t xml:space="preserve">Ridley</w:t>
      </w:r>
      <w:r>
        <w:rPr>
          <w:rFonts w:ascii="Times New Roman" w:cs="Times New Roman" w:eastAsia="Times New Roman" w:hAnsi="Times New Roman"/>
          <w:sz w:val="24"/>
          <w:szCs w:val="24"/>
        </w:rPr>
        <w:t xml:space="preserve">, an HOA failed to investigate and remediate water intrusion and mold contamination in a condominium complex for more than 19 months, despite repeated expert warnings and homeowner complaints. Units became uninhabitable. The board president made false statements denying the mold’s existence and severity. The HOA claimed the business judgment rule protected its decisions.</w:t>
      </w:r>
    </w:p>
    <w:p>
      <w:pPr>
        <w:spacing w:after="200" w:before="0" w:line="276" w:lineRule="auto"/>
        <w:jc w:val="both"/>
        <w:keepNext/>
      </w:pPr>
      <w:r>
        <w:rPr>
          <w:rFonts w:ascii="Times New Roman" w:cs="Times New Roman" w:eastAsia="Times New Roman" w:hAnsi="Times New Roman"/>
          <w:sz w:val="24"/>
          <w:szCs w:val="24"/>
        </w:rPr>
        <w:t xml:space="preserve">The trial court disagreed, and the Court of Appeal affirmed a </w:t>
      </w:r>
      <w:r>
        <w:rPr>
          <w:rFonts w:ascii="Times New Roman" w:cs="Times New Roman" w:eastAsia="Times New Roman" w:hAnsi="Times New Roman"/>
          <w:b/>
          <w:bCs/>
          <w:sz w:val="24"/>
          <w:szCs w:val="24"/>
        </w:rPr>
        <w:t xml:space="preserve">$1.8 million judgment</w:t>
      </w:r>
      <w:r>
        <w:rPr>
          <w:rFonts w:ascii="Times New Roman" w:cs="Times New Roman" w:eastAsia="Times New Roman" w:hAnsi="Times New Roman"/>
          <w:sz w:val="24"/>
          <w:szCs w:val="24"/>
        </w:rPr>
        <w:t xml:space="preserve"> that included:</w:t>
      </w:r>
    </w:p>
    <w:p>
      <w:pPr>
        <w:spacing w:after="200" w:before="0" w:line="276" w:lineRule="auto"/>
        <w:ind w:left="720"/>
        <w:jc w:val="both"/>
        <w:keepNext/>
      </w:pPr>
      <w:r>
        <w:rPr>
          <w:rFonts w:ascii="Times New Roman" w:cs="Times New Roman" w:eastAsia="Times New Roman" w:hAnsi="Times New Roman"/>
          <w:b/>
          <w:bCs/>
          <w:sz w:val="24"/>
          <w:szCs w:val="24"/>
        </w:rPr>
        <w:t xml:space="preserve">Compensatory damages</w:t>
      </w:r>
      <w:r>
        <w:rPr>
          <w:rFonts w:ascii="Times New Roman" w:cs="Times New Roman" w:eastAsia="Times New Roman" w:hAnsi="Times New Roman"/>
          <w:sz w:val="24"/>
          <w:szCs w:val="24"/>
        </w:rPr>
        <w:t xml:space="preserve"> for restoration costs, lost rental income, and emotional distress;</w:t>
      </w:r>
    </w:p>
    <w:p>
      <w:pPr>
        <w:spacing w:after="200" w:before="0" w:line="276" w:lineRule="auto"/>
        <w:ind w:left="720"/>
        <w:jc w:val="both"/>
        <w:keepNext/>
      </w:pPr>
      <w:r>
        <w:rPr>
          <w:rFonts w:ascii="Times New Roman" w:cs="Times New Roman" w:eastAsia="Times New Roman" w:hAnsi="Times New Roman"/>
          <w:b/>
          <w:bCs/>
          <w:sz w:val="24"/>
          <w:szCs w:val="24"/>
        </w:rPr>
        <w:t xml:space="preserve">$250,000 in punitive damages against the HOA entity</w:t>
      </w:r>
      <w:r>
        <w:rPr>
          <w:rFonts w:ascii="Times New Roman" w:cs="Times New Roman" w:eastAsia="Times New Roman" w:hAnsi="Times New Roman"/>
          <w:sz w:val="24"/>
          <w:szCs w:val="24"/>
        </w:rPr>
        <w:t xml:space="preserve"> for conscious disregard of the homeowners’ rights and health;</w:t>
      </w:r>
    </w:p>
    <w:p>
      <w:pPr>
        <w:spacing w:after="200" w:before="0" w:line="276" w:lineRule="auto"/>
        <w:ind w:left="720"/>
        <w:jc w:val="both"/>
        <w:keepNext/>
      </w:pPr>
      <w:r>
        <w:rPr>
          <w:rFonts w:ascii="Times New Roman" w:cs="Times New Roman" w:eastAsia="Times New Roman" w:hAnsi="Times New Roman"/>
          <w:b/>
          <w:bCs/>
          <w:sz w:val="24"/>
          <w:szCs w:val="24"/>
        </w:rPr>
        <w:t xml:space="preserve">$25,000 in punitive damages against the board president personally</w:t>
      </w:r>
      <w:r>
        <w:rPr>
          <w:rFonts w:ascii="Times New Roman" w:cs="Times New Roman" w:eastAsia="Times New Roman" w:hAnsi="Times New Roman"/>
          <w:sz w:val="24"/>
          <w:szCs w:val="24"/>
        </w:rPr>
        <w:t xml:space="preserve"> for deceptive conduct and willful failure to investigate;</w:t>
      </w:r>
    </w:p>
    <w:p>
      <w:pPr>
        <w:spacing w:after="300" w:before="0" w:line="276" w:lineRule="auto"/>
        <w:ind w:left="720"/>
        <w:jc w:val="both"/>
        <w:keepNext/>
      </w:pPr>
      <w:r>
        <w:rPr>
          <w:rFonts w:ascii="Times New Roman" w:cs="Times New Roman" w:eastAsia="Times New Roman" w:hAnsi="Times New Roman"/>
          <w:b/>
          <w:bCs/>
          <w:sz w:val="24"/>
          <w:szCs w:val="24"/>
        </w:rPr>
        <w:t xml:space="preserve">A mandatory injunction</w:t>
      </w:r>
      <w:r>
        <w:rPr>
          <w:rFonts w:ascii="Times New Roman" w:cs="Times New Roman" w:eastAsia="Times New Roman" w:hAnsi="Times New Roman"/>
          <w:sz w:val="24"/>
          <w:szCs w:val="24"/>
        </w:rPr>
        <w:t xml:space="preserve"> requiring the HOA to complete specified repairs.</w:t>
      </w:r>
    </w:p>
    <w:p>
      <w:pPr>
        <w:spacing w:after="200" w:before="0" w:line="276" w:lineRule="auto"/>
        <w:jc w:val="both"/>
        <w:keepNext/>
      </w:pPr>
      <w:r>
        <w:rPr>
          <w:rFonts w:ascii="Times New Roman" w:cs="Times New Roman" w:eastAsia="Times New Roman" w:hAnsi="Times New Roman"/>
          <w:sz w:val="24"/>
          <w:szCs w:val="24"/>
        </w:rPr>
        <w:t xml:space="preserve">The court specifically found that the business judgment rule and judicial deference under </w:t>
      </w:r>
      <w:r>
        <w:rPr>
          <w:rFonts w:ascii="Times New Roman" w:cs="Times New Roman" w:eastAsia="Times New Roman" w:hAnsi="Times New Roman"/>
          <w:i/>
          <w:iCs/>
          <w:sz w:val="24"/>
          <w:szCs w:val="24"/>
        </w:rPr>
        <w:t xml:space="preserve">Lamden</w:t>
      </w:r>
      <w:r>
        <w:rPr>
          <w:rFonts w:ascii="Times New Roman" w:cs="Times New Roman" w:eastAsia="Times New Roman" w:hAnsi="Times New Roman"/>
          <w:sz w:val="24"/>
          <w:szCs w:val="24"/>
        </w:rPr>
        <w:t xml:space="preserve"> </w:t>
      </w:r>
      <w:r>
        <w:rPr>
          <w:rFonts w:ascii="Times New Roman" w:cs="Times New Roman" w:eastAsia="Times New Roman" w:hAnsi="Times New Roman"/>
          <w:b/>
          <w:bCs/>
          <w:sz w:val="24"/>
          <w:szCs w:val="24"/>
        </w:rPr>
        <w:t xml:space="preserve">do not apply</w:t>
      </w:r>
      <w:r>
        <w:rPr>
          <w:rFonts w:ascii="Times New Roman" w:cs="Times New Roman" w:eastAsia="Times New Roman" w:hAnsi="Times New Roman"/>
          <w:sz w:val="24"/>
          <w:szCs w:val="24"/>
        </w:rPr>
        <w:t xml:space="preserve"> when the board fails to conduct reasonable investigation, acts in bad faith, or makes decisions based on inadequate information. The HOA’s exculpatory clause in its CC&amp;Rs was held </w:t>
      </w:r>
      <w:r>
        <w:rPr>
          <w:rFonts w:ascii="Times New Roman" w:cs="Times New Roman" w:eastAsia="Times New Roman" w:hAnsi="Times New Roman"/>
          <w:b/>
          <w:bCs/>
          <w:sz w:val="24"/>
          <w:szCs w:val="24"/>
        </w:rPr>
        <w:t xml:space="preserve">unenforceable as against public policy.</w:t>
      </w:r>
      <w:r>
        <w:rPr>
          <w:rFonts w:ascii="Times New Roman" w:cs="Times New Roman" w:eastAsia="Times New Roman" w:hAnsi="Times New Roman"/>
          <w:sz w:val="24"/>
          <w:szCs w:val="24"/>
        </w:rPr>
        <w:t xml:space="preserve"> The personal liability finding against the board president confirms that individual directors face personal exposure when they knowingly allow a health hazard to persist.</w:t>
      </w:r>
    </w:p>
    <w:p>
      <w:pPr>
        <w:spacing w:before="360" w:after="200" w:line="276" w:lineRule="auto"/>
        <w:jc w:val="left"/>
        <w:keepNext/>
      </w:pPr>
      <w:r>
        <w:rPr>
          <w:rFonts w:ascii="Times New Roman" w:cs="Times New Roman" w:eastAsia="Times New Roman" w:hAnsi="Times New Roman"/>
          <w:b/>
          <w:bCs/>
          <w:sz w:val="28"/>
          <w:szCs w:val="28"/>
          <w:u w:val="single"/>
        </w:rPr>
        <w:t xml:space="preserve">V. Damages</w:t>
      </w:r>
    </w:p>
    <w:p>
      <w:pPr>
        <w:spacing w:after="200" w:before="0" w:line="276" w:lineRule="auto"/>
        <w:jc w:val="both"/>
      </w:pPr>
      <w:r>
        <w:rPr>
          <w:rFonts w:ascii="Times New Roman" w:cs="Times New Roman" w:eastAsia="Times New Roman" w:hAnsi="Times New Roman"/>
          <w:b w:val="false"/>
          <w:bCs w:val="false"/>
          <w:i w:val="false"/>
          <w:iCs w:val="false"/>
          <w:sz w:val="24"/>
          <w:szCs w:val="24"/>
        </w:rPr>
        <w:t xml:space="preserve">My current and anticipated damages include, but are not limited to, the following:</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0"/>
        <w:gridCol w:w="2280"/>
        <w:gridCol w:w="2280"/>
      </w:tblGrid>
      <w:tr>
        <w:tc>
          <w:tcPr>
            <w:tcW w:type="dxa" w:w="4800"/>
            <w:tcBorders>
              <w:top w:val="single" w:color="999999" w:sz="1"/>
              <w:left w:val="single" w:color="999999" w:sz="1"/>
              <w:bottom w:val="single" w:color="999999" w:sz="1"/>
              <w:right w:val="single" w:color="999999" w:sz="1"/>
            </w:tcBorders>
            <w:shd w:fill="1B3A5C" w:val="clear"/>
            <w:tcMar>
              <w:top w:type="dxa" w:w="60"/>
              <w:left w:type="dxa" w:w="100"/>
              <w:bottom w:type="dxa" w:w="60"/>
              <w:right w:type="dxa" w:w="100"/>
            </w:tcMar>
          </w:tcPr>
          <w:p>
            <w:pPr>
              <w:spacing w:after="0"/>
              <w:jc w:val="left"/>
            </w:pPr>
            <w:r>
              <w:rPr>
                <w:rFonts w:ascii="Times New Roman" w:cs="Times New Roman" w:eastAsia="Times New Roman" w:hAnsi="Times New Roman"/>
                <w:b/>
                <w:bCs/>
                <w:color w:val="FFFFFF"/>
                <w:sz w:val="20"/>
                <w:szCs w:val="20"/>
              </w:rPr>
              <w:t xml:space="preserve">DAMAGE CATEGORY</w:t>
            </w:r>
          </w:p>
        </w:tc>
        <w:tc>
          <w:tcPr>
            <w:tcW w:type="dxa" w:w="2280"/>
            <w:tcBorders>
              <w:top w:val="single" w:color="999999" w:sz="1"/>
              <w:left w:val="single" w:color="999999" w:sz="1"/>
              <w:bottom w:val="single" w:color="999999" w:sz="1"/>
              <w:right w:val="single" w:color="999999" w:sz="1"/>
            </w:tcBorders>
            <w:shd w:fill="1B3A5C" w:val="clear"/>
            <w:tcMar>
              <w:top w:type="dxa" w:w="60"/>
              <w:left w:type="dxa" w:w="100"/>
              <w:bottom w:type="dxa" w:w="60"/>
              <w:right w:type="dxa" w:w="100"/>
            </w:tcMar>
          </w:tcPr>
          <w:p>
            <w:pPr>
              <w:spacing w:after="0"/>
              <w:jc w:val="center"/>
            </w:pPr>
            <w:r>
              <w:rPr>
                <w:rFonts w:ascii="Times New Roman" w:cs="Times New Roman" w:eastAsia="Times New Roman" w:hAnsi="Times New Roman"/>
                <w:b/>
                <w:bCs/>
                <w:color w:val="FFFFFF"/>
                <w:sz w:val="20"/>
                <w:szCs w:val="20"/>
              </w:rPr>
              <w:t xml:space="preserve">CONSERVATIVE</w:t>
            </w:r>
          </w:p>
        </w:tc>
        <w:tc>
          <w:tcPr>
            <w:tcW w:type="dxa" w:w="2280"/>
            <w:tcBorders>
              <w:top w:val="single" w:color="999999" w:sz="1"/>
              <w:left w:val="single" w:color="999999" w:sz="1"/>
              <w:bottom w:val="single" w:color="999999" w:sz="1"/>
              <w:right w:val="single" w:color="999999" w:sz="1"/>
            </w:tcBorders>
            <w:shd w:fill="1B3A5C" w:val="clear"/>
            <w:tcMar>
              <w:top w:type="dxa" w:w="60"/>
              <w:left w:type="dxa" w:w="100"/>
              <w:bottom w:type="dxa" w:w="60"/>
              <w:right w:type="dxa" w:w="100"/>
            </w:tcMar>
          </w:tcPr>
          <w:p>
            <w:pPr>
              <w:spacing w:after="0"/>
              <w:jc w:val="center"/>
            </w:pPr>
            <w:r>
              <w:rPr>
                <w:rFonts w:ascii="Times New Roman" w:cs="Times New Roman" w:eastAsia="Times New Roman" w:hAnsi="Times New Roman"/>
                <w:b/>
                <w:bCs/>
                <w:color w:val="FFFFFF"/>
                <w:sz w:val="20"/>
                <w:szCs w:val="20"/>
              </w:rPr>
              <w:t xml:space="preserve">AGGRESSIVE</w:t>
            </w:r>
          </w:p>
        </w:tc>
      </w:tr>
      <w:tr>
        <w:tc>
          <w:tcPr>
            <w:tcW w:type="dxa" w:w="4800"/>
            <w:tcBorders>
              <w:top w:val="single" w:color="999999" w:sz="1"/>
              <w:left w:val="single" w:color="999999" w:sz="1"/>
              <w:bottom w:val="single" w:color="999999" w:sz="1"/>
              <w:right w:val="single" w:color="999999" w:sz="1"/>
            </w:tcBorders>
            <w:tcMar>
              <w:top w:type="dxa" w:w="60"/>
              <w:left w:type="dxa" w:w="100"/>
              <w:bottom w:type="dxa" w:w="60"/>
              <w:right w:type="dxa" w:w="100"/>
            </w:tcMar>
          </w:tcPr>
          <w:p>
            <w:pPr>
              <w:spacing w:after="0"/>
              <w:jc w:val="left"/>
            </w:pPr>
            <w:r>
              <w:rPr>
                <w:rFonts w:ascii="Times New Roman" w:cs="Times New Roman" w:eastAsia="Times New Roman" w:hAnsi="Times New Roman"/>
                <w:color w:val="000000"/>
                <w:sz w:val="20"/>
                <w:szCs w:val="20"/>
              </w:rPr>
              <w:t xml:space="preserve">Mold remediation (Estimate #337)</w:t>
            </w:r>
          </w:p>
        </w:tc>
        <w:tc>
          <w:tcPr>
            <w:tcW w:type="dxa" w:w="2280"/>
            <w:tcBorders>
              <w:top w:val="single" w:color="999999" w:sz="1"/>
              <w:left w:val="single" w:color="999999" w:sz="1"/>
              <w:bottom w:val="single" w:color="999999" w:sz="1"/>
              <w:right w:val="single" w:color="999999" w:sz="1"/>
            </w:tcBorders>
            <w:tcMar>
              <w:top w:type="dxa" w:w="60"/>
              <w:left w:type="dxa" w:w="100"/>
              <w:bottom w:type="dxa" w:w="60"/>
              <w:right w:type="dxa" w:w="100"/>
            </w:tcMar>
          </w:tcPr>
          <w:p>
            <w:pPr>
              <w:spacing w:after="0"/>
              <w:jc w:val="right"/>
            </w:pPr>
            <w:r>
              <w:rPr>
                <w:rFonts w:ascii="Times New Roman" w:cs="Times New Roman" w:eastAsia="Times New Roman" w:hAnsi="Times New Roman"/>
                <w:color w:val="000000"/>
                <w:sz w:val="20"/>
                <w:szCs w:val="20"/>
              </w:rPr>
              <w:t xml:space="preserve">$17,244</w:t>
            </w:r>
          </w:p>
        </w:tc>
        <w:tc>
          <w:tcPr>
            <w:tcW w:type="dxa" w:w="2280"/>
            <w:tcBorders>
              <w:top w:val="single" w:color="999999" w:sz="1"/>
              <w:left w:val="single" w:color="999999" w:sz="1"/>
              <w:bottom w:val="single" w:color="999999" w:sz="1"/>
              <w:right w:val="single" w:color="999999" w:sz="1"/>
            </w:tcBorders>
            <w:tcMar>
              <w:top w:type="dxa" w:w="60"/>
              <w:left w:type="dxa" w:w="100"/>
              <w:bottom w:type="dxa" w:w="60"/>
              <w:right w:type="dxa" w:w="100"/>
            </w:tcMar>
          </w:tcPr>
          <w:p>
            <w:pPr>
              <w:spacing w:after="0"/>
              <w:jc w:val="right"/>
            </w:pPr>
            <w:r>
              <w:rPr>
                <w:rFonts w:ascii="Times New Roman" w:cs="Times New Roman" w:eastAsia="Times New Roman" w:hAnsi="Times New Roman"/>
                <w:color w:val="000000"/>
                <w:sz w:val="20"/>
                <w:szCs w:val="20"/>
              </w:rPr>
              <w:t xml:space="preserve">$17,244</w:t>
            </w:r>
          </w:p>
        </w:tc>
      </w:tr>
      <w:tr>
        <w:tc>
          <w:tcPr>
            <w:tcW w:type="dxa" w:w="4800"/>
            <w:tcBorders>
              <w:top w:val="single" w:color="999999" w:sz="1"/>
              <w:left w:val="single" w:color="999999" w:sz="1"/>
              <w:bottom w:val="single" w:color="999999" w:sz="1"/>
              <w:right w:val="single" w:color="999999" w:sz="1"/>
            </w:tcBorders>
            <w:shd w:fill="F5F5F5" w:val="clear"/>
            <w:tcMar>
              <w:top w:type="dxa" w:w="60"/>
              <w:left w:type="dxa" w:w="100"/>
              <w:bottom w:type="dxa" w:w="60"/>
              <w:right w:type="dxa" w:w="100"/>
            </w:tcMar>
          </w:tcPr>
          <w:p>
            <w:pPr>
              <w:spacing w:after="0"/>
              <w:jc w:val="left"/>
            </w:pPr>
            <w:r>
              <w:rPr>
                <w:rFonts w:ascii="Times New Roman" w:cs="Times New Roman" w:eastAsia="Times New Roman" w:hAnsi="Times New Roman"/>
                <w:color w:val="000000"/>
                <w:sz w:val="20"/>
                <w:szCs w:val="20"/>
              </w:rPr>
              <w:t xml:space="preserve">Reconstruction after remediation</w:t>
            </w:r>
          </w:p>
        </w:tc>
        <w:tc>
          <w:tcPr>
            <w:tcW w:type="dxa" w:w="2280"/>
            <w:tcBorders>
              <w:top w:val="single" w:color="999999" w:sz="1"/>
              <w:left w:val="single" w:color="999999" w:sz="1"/>
              <w:bottom w:val="single" w:color="999999" w:sz="1"/>
              <w:right w:val="single" w:color="999999" w:sz="1"/>
            </w:tcBorders>
            <w:shd w:fill="F5F5F5" w:val="clear"/>
            <w:tcMar>
              <w:top w:type="dxa" w:w="60"/>
              <w:left w:type="dxa" w:w="100"/>
              <w:bottom w:type="dxa" w:w="60"/>
              <w:right w:type="dxa" w:w="100"/>
            </w:tcMar>
          </w:tcPr>
          <w:p>
            <w:pPr>
              <w:spacing w:after="0"/>
              <w:jc w:val="right"/>
            </w:pPr>
            <w:r>
              <w:rPr>
                <w:rFonts w:ascii="Times New Roman" w:cs="Times New Roman" w:eastAsia="Times New Roman" w:hAnsi="Times New Roman"/>
                <w:color w:val="000000"/>
                <w:sz w:val="20"/>
                <w:szCs w:val="20"/>
              </w:rPr>
              <w:t xml:space="preserve">$8,600</w:t>
            </w:r>
          </w:p>
        </w:tc>
        <w:tc>
          <w:tcPr>
            <w:tcW w:type="dxa" w:w="2280"/>
            <w:tcBorders>
              <w:top w:val="single" w:color="999999" w:sz="1"/>
              <w:left w:val="single" w:color="999999" w:sz="1"/>
              <w:bottom w:val="single" w:color="999999" w:sz="1"/>
              <w:right w:val="single" w:color="999999" w:sz="1"/>
            </w:tcBorders>
            <w:shd w:fill="F5F5F5" w:val="clear"/>
            <w:tcMar>
              <w:top w:type="dxa" w:w="60"/>
              <w:left w:type="dxa" w:w="100"/>
              <w:bottom w:type="dxa" w:w="60"/>
              <w:right w:type="dxa" w:w="100"/>
            </w:tcMar>
          </w:tcPr>
          <w:p>
            <w:pPr>
              <w:spacing w:after="0"/>
              <w:jc w:val="right"/>
            </w:pPr>
            <w:r>
              <w:rPr>
                <w:rFonts w:ascii="Times New Roman" w:cs="Times New Roman" w:eastAsia="Times New Roman" w:hAnsi="Times New Roman"/>
                <w:color w:val="000000"/>
                <w:sz w:val="20"/>
                <w:szCs w:val="20"/>
              </w:rPr>
              <w:t xml:space="preserve">$17,250</w:t>
            </w:r>
          </w:p>
        </w:tc>
      </w:tr>
      <w:tr>
        <w:tc>
          <w:tcPr>
            <w:tcW w:type="dxa" w:w="4800"/>
            <w:tcBorders>
              <w:top w:val="single" w:color="999999" w:sz="1"/>
              <w:left w:val="single" w:color="999999" w:sz="1"/>
              <w:bottom w:val="single" w:color="999999" w:sz="1"/>
              <w:right w:val="single" w:color="999999" w:sz="1"/>
            </w:tcBorders>
            <w:tcMar>
              <w:top w:type="dxa" w:w="60"/>
              <w:left w:type="dxa" w:w="100"/>
              <w:bottom w:type="dxa" w:w="60"/>
              <w:right w:type="dxa" w:w="100"/>
            </w:tcMar>
          </w:tcPr>
          <w:p>
            <w:pPr>
              <w:spacing w:after="0"/>
              <w:jc w:val="left"/>
            </w:pPr>
            <w:r>
              <w:rPr>
                <w:rFonts w:ascii="Times New Roman" w:cs="Times New Roman" w:eastAsia="Times New Roman" w:hAnsi="Times New Roman"/>
                <w:color w:val="000000"/>
                <w:sz w:val="20"/>
                <w:szCs w:val="20"/>
              </w:rPr>
              <w:t xml:space="preserve">Lost rental income (see note below)</w:t>
            </w:r>
          </w:p>
        </w:tc>
        <w:tc>
          <w:tcPr>
            <w:tcW w:type="dxa" w:w="2280"/>
            <w:tcBorders>
              <w:top w:val="single" w:color="999999" w:sz="1"/>
              <w:left w:val="single" w:color="999999" w:sz="1"/>
              <w:bottom w:val="single" w:color="999999" w:sz="1"/>
              <w:right w:val="single" w:color="999999" w:sz="1"/>
            </w:tcBorders>
            <w:tcMar>
              <w:top w:type="dxa" w:w="60"/>
              <w:left w:type="dxa" w:w="100"/>
              <w:bottom w:type="dxa" w:w="60"/>
              <w:right w:type="dxa" w:w="100"/>
            </w:tcMar>
          </w:tcPr>
          <w:p>
            <w:pPr>
              <w:spacing w:after="0"/>
              <w:jc w:val="right"/>
            </w:pPr>
            <w:r>
              <w:rPr>
                <w:rFonts w:ascii="Times New Roman" w:cs="Times New Roman" w:eastAsia="Times New Roman" w:hAnsi="Times New Roman"/>
                <w:color w:val="000000"/>
                <w:sz w:val="20"/>
                <w:szCs w:val="20"/>
              </w:rPr>
              <w:t xml:space="preserve">$12,000</w:t>
            </w:r>
          </w:p>
        </w:tc>
        <w:tc>
          <w:tcPr>
            <w:tcW w:type="dxa" w:w="2280"/>
            <w:tcBorders>
              <w:top w:val="single" w:color="999999" w:sz="1"/>
              <w:left w:val="single" w:color="999999" w:sz="1"/>
              <w:bottom w:val="single" w:color="999999" w:sz="1"/>
              <w:right w:val="single" w:color="999999" w:sz="1"/>
            </w:tcBorders>
            <w:tcMar>
              <w:top w:type="dxa" w:w="60"/>
              <w:left w:type="dxa" w:w="100"/>
              <w:bottom w:type="dxa" w:w="60"/>
              <w:right w:type="dxa" w:w="100"/>
            </w:tcMar>
          </w:tcPr>
          <w:p>
            <w:pPr>
              <w:spacing w:after="0"/>
              <w:jc w:val="right"/>
            </w:pPr>
            <w:r>
              <w:rPr>
                <w:rFonts w:ascii="Times New Roman" w:cs="Times New Roman" w:eastAsia="Times New Roman" w:hAnsi="Times New Roman"/>
                <w:color w:val="000000"/>
                <w:sz w:val="20"/>
                <w:szCs w:val="20"/>
              </w:rPr>
              <w:t xml:space="preserve">$24,000+</w:t>
            </w:r>
          </w:p>
        </w:tc>
      </w:tr>
      <w:tr>
        <w:tc>
          <w:tcPr>
            <w:tcW w:type="dxa" w:w="4800"/>
            <w:tcBorders>
              <w:top w:val="single" w:color="999999" w:sz="1"/>
              <w:left w:val="single" w:color="999999" w:sz="1"/>
              <w:bottom w:val="single" w:color="999999" w:sz="1"/>
              <w:right w:val="single" w:color="999999" w:sz="1"/>
            </w:tcBorders>
            <w:shd w:fill="F5F5F5" w:val="clear"/>
            <w:tcMar>
              <w:top w:type="dxa" w:w="60"/>
              <w:left w:type="dxa" w:w="100"/>
              <w:bottom w:type="dxa" w:w="60"/>
              <w:right w:type="dxa" w:w="100"/>
            </w:tcMar>
          </w:tcPr>
          <w:p>
            <w:pPr>
              <w:spacing w:after="0"/>
              <w:jc w:val="left"/>
            </w:pPr>
            <w:r>
              <w:rPr>
                <w:rFonts w:ascii="Times New Roman" w:cs="Times New Roman" w:eastAsia="Times New Roman" w:hAnsi="Times New Roman"/>
                <w:color w:val="000000"/>
                <w:sz w:val="20"/>
                <w:szCs w:val="20"/>
              </w:rPr>
              <w:t xml:space="preserve">Diminished property value</w:t>
            </w:r>
          </w:p>
        </w:tc>
        <w:tc>
          <w:tcPr>
            <w:tcW w:type="dxa" w:w="2280"/>
            <w:tcBorders>
              <w:top w:val="single" w:color="999999" w:sz="1"/>
              <w:left w:val="single" w:color="999999" w:sz="1"/>
              <w:bottom w:val="single" w:color="999999" w:sz="1"/>
              <w:right w:val="single" w:color="999999" w:sz="1"/>
            </w:tcBorders>
            <w:shd w:fill="F5F5F5" w:val="clear"/>
            <w:tcMar>
              <w:top w:type="dxa" w:w="60"/>
              <w:left w:type="dxa" w:w="100"/>
              <w:bottom w:type="dxa" w:w="60"/>
              <w:right w:type="dxa" w:w="100"/>
            </w:tcMar>
          </w:tcPr>
          <w:p>
            <w:pPr>
              <w:spacing w:after="0"/>
              <w:jc w:val="right"/>
            </w:pPr>
            <w:r>
              <w:rPr>
                <w:rFonts w:ascii="Times New Roman" w:cs="Times New Roman" w:eastAsia="Times New Roman" w:hAnsi="Times New Roman"/>
                <w:color w:val="000000"/>
                <w:sz w:val="20"/>
                <w:szCs w:val="20"/>
              </w:rPr>
              <w:t xml:space="preserve">$10,000</w:t>
            </w:r>
          </w:p>
        </w:tc>
        <w:tc>
          <w:tcPr>
            <w:tcW w:type="dxa" w:w="2280"/>
            <w:tcBorders>
              <w:top w:val="single" w:color="999999" w:sz="1"/>
              <w:left w:val="single" w:color="999999" w:sz="1"/>
              <w:bottom w:val="single" w:color="999999" w:sz="1"/>
              <w:right w:val="single" w:color="999999" w:sz="1"/>
            </w:tcBorders>
            <w:shd w:fill="F5F5F5" w:val="clear"/>
            <w:tcMar>
              <w:top w:type="dxa" w:w="60"/>
              <w:left w:type="dxa" w:w="100"/>
              <w:bottom w:type="dxa" w:w="60"/>
              <w:right w:type="dxa" w:w="100"/>
            </w:tcMar>
          </w:tcPr>
          <w:p>
            <w:pPr>
              <w:spacing w:after="0"/>
              <w:jc w:val="right"/>
            </w:pPr>
            <w:r>
              <w:rPr>
                <w:rFonts w:ascii="Times New Roman" w:cs="Times New Roman" w:eastAsia="Times New Roman" w:hAnsi="Times New Roman"/>
                <w:color w:val="000000"/>
                <w:sz w:val="20"/>
                <w:szCs w:val="20"/>
              </w:rPr>
              <w:t xml:space="preserve">$40,000</w:t>
            </w:r>
          </w:p>
        </w:tc>
      </w:tr>
      <w:tr>
        <w:tc>
          <w:tcPr>
            <w:tcW w:type="dxa" w:w="4800"/>
            <w:tcBorders>
              <w:top w:val="single" w:color="999999" w:sz="1"/>
              <w:left w:val="single" w:color="999999" w:sz="1"/>
              <w:bottom w:val="single" w:color="999999" w:sz="1"/>
              <w:right w:val="single" w:color="999999" w:sz="1"/>
            </w:tcBorders>
            <w:tcMar>
              <w:top w:type="dxa" w:w="60"/>
              <w:left w:type="dxa" w:w="100"/>
              <w:bottom w:type="dxa" w:w="60"/>
              <w:right w:type="dxa" w:w="100"/>
            </w:tcMar>
          </w:tcPr>
          <w:p>
            <w:pPr>
              <w:spacing w:after="0"/>
              <w:jc w:val="left"/>
            </w:pPr>
            <w:r>
              <w:rPr>
                <w:rFonts w:ascii="Times New Roman" w:cs="Times New Roman" w:eastAsia="Times New Roman" w:hAnsi="Times New Roman"/>
                <w:color w:val="000000"/>
                <w:sz w:val="20"/>
                <w:szCs w:val="20"/>
              </w:rPr>
              <w:t xml:space="preserve">Personal property damage</w:t>
            </w:r>
          </w:p>
        </w:tc>
        <w:tc>
          <w:tcPr>
            <w:tcW w:type="dxa" w:w="2280"/>
            <w:tcBorders>
              <w:top w:val="single" w:color="999999" w:sz="1"/>
              <w:left w:val="single" w:color="999999" w:sz="1"/>
              <w:bottom w:val="single" w:color="999999" w:sz="1"/>
              <w:right w:val="single" w:color="999999" w:sz="1"/>
            </w:tcBorders>
            <w:tcMar>
              <w:top w:type="dxa" w:w="60"/>
              <w:left w:type="dxa" w:w="100"/>
              <w:bottom w:type="dxa" w:w="60"/>
              <w:right w:type="dxa" w:w="100"/>
            </w:tcMar>
          </w:tcPr>
          <w:p>
            <w:pPr>
              <w:spacing w:after="0"/>
              <w:jc w:val="right"/>
            </w:pPr>
            <w:r>
              <w:rPr>
                <w:rFonts w:ascii="Times New Roman" w:cs="Times New Roman" w:eastAsia="Times New Roman" w:hAnsi="Times New Roman"/>
                <w:color w:val="000000"/>
                <w:sz w:val="20"/>
                <w:szCs w:val="20"/>
              </w:rPr>
              <w:t xml:space="preserve">$2,000</w:t>
            </w:r>
          </w:p>
        </w:tc>
        <w:tc>
          <w:tcPr>
            <w:tcW w:type="dxa" w:w="2280"/>
            <w:tcBorders>
              <w:top w:val="single" w:color="999999" w:sz="1"/>
              <w:left w:val="single" w:color="999999" w:sz="1"/>
              <w:bottom w:val="single" w:color="999999" w:sz="1"/>
              <w:right w:val="single" w:color="999999" w:sz="1"/>
            </w:tcBorders>
            <w:tcMar>
              <w:top w:type="dxa" w:w="60"/>
              <w:left w:type="dxa" w:w="100"/>
              <w:bottom w:type="dxa" w:w="60"/>
              <w:right w:type="dxa" w:w="100"/>
            </w:tcMar>
          </w:tcPr>
          <w:p>
            <w:pPr>
              <w:spacing w:after="0"/>
              <w:jc w:val="right"/>
            </w:pPr>
            <w:r>
              <w:rPr>
                <w:rFonts w:ascii="Times New Roman" w:cs="Times New Roman" w:eastAsia="Times New Roman" w:hAnsi="Times New Roman"/>
                <w:color w:val="000000"/>
                <w:sz w:val="20"/>
                <w:szCs w:val="20"/>
              </w:rPr>
              <w:t xml:space="preserve">$15,000</w:t>
            </w:r>
          </w:p>
        </w:tc>
      </w:tr>
      <w:tr>
        <w:tc>
          <w:tcPr>
            <w:tcW w:type="dxa" w:w="4800"/>
            <w:tcBorders>
              <w:top w:val="single" w:color="999999" w:sz="1"/>
              <w:left w:val="single" w:color="999999" w:sz="1"/>
              <w:bottom w:val="single" w:color="999999" w:sz="1"/>
              <w:right w:val="single" w:color="999999" w:sz="1"/>
            </w:tcBorders>
            <w:shd w:fill="F5F5F5" w:val="clear"/>
            <w:tcMar>
              <w:top w:type="dxa" w:w="60"/>
              <w:left w:type="dxa" w:w="100"/>
              <w:bottom w:type="dxa" w:w="60"/>
              <w:right w:type="dxa" w:w="100"/>
            </w:tcMar>
          </w:tcPr>
          <w:p>
            <w:pPr>
              <w:spacing w:after="0"/>
              <w:jc w:val="left"/>
            </w:pPr>
            <w:r>
              <w:rPr>
                <w:rFonts w:ascii="Times New Roman" w:cs="Times New Roman" w:eastAsia="Times New Roman" w:hAnsi="Times New Roman"/>
                <w:color w:val="000000"/>
                <w:sz w:val="20"/>
                <w:szCs w:val="20"/>
              </w:rPr>
              <w:t xml:space="preserve">Emotional distress (see note below)</w:t>
            </w:r>
          </w:p>
        </w:tc>
        <w:tc>
          <w:tcPr>
            <w:tcW w:type="dxa" w:w="2280"/>
            <w:tcBorders>
              <w:top w:val="single" w:color="999999" w:sz="1"/>
              <w:left w:val="single" w:color="999999" w:sz="1"/>
              <w:bottom w:val="single" w:color="999999" w:sz="1"/>
              <w:right w:val="single" w:color="999999" w:sz="1"/>
            </w:tcBorders>
            <w:shd w:fill="F5F5F5" w:val="clear"/>
            <w:tcMar>
              <w:top w:type="dxa" w:w="60"/>
              <w:left w:type="dxa" w:w="100"/>
              <w:bottom w:type="dxa" w:w="60"/>
              <w:right w:type="dxa" w:w="100"/>
            </w:tcMar>
          </w:tcPr>
          <w:p>
            <w:pPr>
              <w:spacing w:after="0"/>
              <w:jc w:val="right"/>
            </w:pPr>
            <w:r>
              <w:rPr>
                <w:rFonts w:ascii="Times New Roman" w:cs="Times New Roman" w:eastAsia="Times New Roman" w:hAnsi="Times New Roman"/>
                <w:color w:val="000000"/>
                <w:sz w:val="20"/>
                <w:szCs w:val="20"/>
              </w:rPr>
              <w:t xml:space="preserve">$25,000</w:t>
            </w:r>
          </w:p>
        </w:tc>
        <w:tc>
          <w:tcPr>
            <w:tcW w:type="dxa" w:w="2280"/>
            <w:tcBorders>
              <w:top w:val="single" w:color="999999" w:sz="1"/>
              <w:left w:val="single" w:color="999999" w:sz="1"/>
              <w:bottom w:val="single" w:color="999999" w:sz="1"/>
              <w:right w:val="single" w:color="999999" w:sz="1"/>
            </w:tcBorders>
            <w:shd w:fill="F5F5F5" w:val="clear"/>
            <w:tcMar>
              <w:top w:type="dxa" w:w="60"/>
              <w:left w:type="dxa" w:w="100"/>
              <w:bottom w:type="dxa" w:w="60"/>
              <w:right w:type="dxa" w:w="100"/>
            </w:tcMar>
          </w:tcPr>
          <w:p>
            <w:pPr>
              <w:spacing w:after="0"/>
              <w:jc w:val="right"/>
            </w:pPr>
            <w:r>
              <w:rPr>
                <w:rFonts w:ascii="Times New Roman" w:cs="Times New Roman" w:eastAsia="Times New Roman" w:hAnsi="Times New Roman"/>
                <w:color w:val="000000"/>
                <w:sz w:val="20"/>
                <w:szCs w:val="20"/>
              </w:rPr>
              <w:t xml:space="preserve">$150,000</w:t>
            </w:r>
          </w:p>
        </w:tc>
      </w:tr>
      <w:tr>
        <w:tc>
          <w:tcPr>
            <w:tcW w:type="dxa" w:w="4800"/>
            <w:tcBorders>
              <w:top w:val="single" w:color="999999" w:sz="1"/>
              <w:left w:val="single" w:color="999999" w:sz="1"/>
              <w:bottom w:val="single" w:color="999999" w:sz="1"/>
              <w:right w:val="single" w:color="999999" w:sz="1"/>
            </w:tcBorders>
            <w:tcMar>
              <w:top w:type="dxa" w:w="60"/>
              <w:left w:type="dxa" w:w="100"/>
              <w:bottom w:type="dxa" w:w="60"/>
              <w:right w:type="dxa" w:w="100"/>
            </w:tcMar>
          </w:tcPr>
          <w:p>
            <w:pPr>
              <w:spacing w:after="0"/>
              <w:jc w:val="left"/>
            </w:pPr>
            <w:r>
              <w:rPr>
                <w:rFonts w:ascii="Times New Roman" w:cs="Times New Roman" w:eastAsia="Times New Roman" w:hAnsi="Times New Roman"/>
                <w:color w:val="000000"/>
                <w:sz w:val="20"/>
                <w:szCs w:val="20"/>
              </w:rPr>
              <w:t xml:space="preserve">Attorney fees (Civ. Code § 5975 — MANDATORY)</w:t>
            </w:r>
          </w:p>
        </w:tc>
        <w:tc>
          <w:tcPr>
            <w:tcW w:type="dxa" w:w="2280"/>
            <w:tcBorders>
              <w:top w:val="single" w:color="999999" w:sz="1"/>
              <w:left w:val="single" w:color="999999" w:sz="1"/>
              <w:bottom w:val="single" w:color="999999" w:sz="1"/>
              <w:right w:val="single" w:color="999999" w:sz="1"/>
            </w:tcBorders>
            <w:tcMar>
              <w:top w:type="dxa" w:w="60"/>
              <w:left w:type="dxa" w:w="100"/>
              <w:bottom w:type="dxa" w:w="60"/>
              <w:right w:type="dxa" w:w="100"/>
            </w:tcMar>
          </w:tcPr>
          <w:p>
            <w:pPr>
              <w:spacing w:after="0"/>
              <w:jc w:val="right"/>
            </w:pPr>
            <w:r>
              <w:rPr>
                <w:rFonts w:ascii="Times New Roman" w:cs="Times New Roman" w:eastAsia="Times New Roman" w:hAnsi="Times New Roman"/>
                <w:color w:val="000000"/>
                <w:sz w:val="20"/>
                <w:szCs w:val="20"/>
              </w:rPr>
              <w:t xml:space="preserve">$50,000</w:t>
            </w:r>
          </w:p>
        </w:tc>
        <w:tc>
          <w:tcPr>
            <w:tcW w:type="dxa" w:w="2280"/>
            <w:tcBorders>
              <w:top w:val="single" w:color="999999" w:sz="1"/>
              <w:left w:val="single" w:color="999999" w:sz="1"/>
              <w:bottom w:val="single" w:color="999999" w:sz="1"/>
              <w:right w:val="single" w:color="999999" w:sz="1"/>
            </w:tcBorders>
            <w:tcMar>
              <w:top w:type="dxa" w:w="60"/>
              <w:left w:type="dxa" w:w="100"/>
              <w:bottom w:type="dxa" w:w="60"/>
              <w:right w:type="dxa" w:w="100"/>
            </w:tcMar>
          </w:tcPr>
          <w:p>
            <w:pPr>
              <w:spacing w:after="0"/>
              <w:jc w:val="right"/>
            </w:pPr>
            <w:r>
              <w:rPr>
                <w:rFonts w:ascii="Times New Roman" w:cs="Times New Roman" w:eastAsia="Times New Roman" w:hAnsi="Times New Roman"/>
                <w:color w:val="000000"/>
                <w:sz w:val="20"/>
                <w:szCs w:val="20"/>
              </w:rPr>
              <w:t xml:space="preserve">$200,000</w:t>
            </w:r>
          </w:p>
        </w:tc>
      </w:tr>
      <w:tr>
        <w:tc>
          <w:tcPr>
            <w:tcW w:type="dxa" w:w="4800"/>
            <w:tcBorders>
              <w:top w:val="single" w:color="999999" w:sz="1"/>
              <w:left w:val="single" w:color="999999" w:sz="1"/>
              <w:bottom w:val="single" w:color="999999" w:sz="1"/>
              <w:right w:val="single" w:color="999999" w:sz="1"/>
            </w:tcBorders>
            <w:shd w:fill="F5F5F5" w:val="clear"/>
            <w:tcMar>
              <w:top w:type="dxa" w:w="60"/>
              <w:left w:type="dxa" w:w="100"/>
              <w:bottom w:type="dxa" w:w="60"/>
              <w:right w:type="dxa" w:w="100"/>
            </w:tcMar>
          </w:tcPr>
          <w:p>
            <w:pPr>
              <w:spacing w:after="0"/>
              <w:jc w:val="left"/>
            </w:pPr>
            <w:r>
              <w:rPr>
                <w:rFonts w:ascii="Times New Roman" w:cs="Times New Roman" w:eastAsia="Times New Roman" w:hAnsi="Times New Roman"/>
                <w:color w:val="000000"/>
                <w:sz w:val="20"/>
                <w:szCs w:val="20"/>
              </w:rPr>
              <w:t xml:space="preserve">Relocation / temporary housing / loss of use</w:t>
            </w:r>
          </w:p>
        </w:tc>
        <w:tc>
          <w:tcPr>
            <w:tcW w:type="dxa" w:w="2280"/>
            <w:tcBorders>
              <w:top w:val="single" w:color="999999" w:sz="1"/>
              <w:left w:val="single" w:color="999999" w:sz="1"/>
              <w:bottom w:val="single" w:color="999999" w:sz="1"/>
              <w:right w:val="single" w:color="999999" w:sz="1"/>
            </w:tcBorders>
            <w:shd w:fill="F5F5F5" w:val="clear"/>
            <w:tcMar>
              <w:top w:type="dxa" w:w="60"/>
              <w:left w:type="dxa" w:w="100"/>
              <w:bottom w:type="dxa" w:w="60"/>
              <w:right w:type="dxa" w:w="100"/>
            </w:tcMar>
          </w:tcPr>
          <w:p>
            <w:pPr>
              <w:spacing w:after="0"/>
              <w:jc w:val="right"/>
            </w:pPr>
            <w:r>
              <w:rPr>
                <w:rFonts w:ascii="Times New Roman" w:cs="Times New Roman" w:eastAsia="Times New Roman" w:hAnsi="Times New Roman"/>
                <w:color w:val="000000"/>
                <w:sz w:val="20"/>
                <w:szCs w:val="20"/>
              </w:rPr>
              <w:t xml:space="preserve">$14,000</w:t>
            </w:r>
          </w:p>
        </w:tc>
        <w:tc>
          <w:tcPr>
            <w:tcW w:type="dxa" w:w="2280"/>
            <w:tcBorders>
              <w:top w:val="single" w:color="999999" w:sz="1"/>
              <w:left w:val="single" w:color="999999" w:sz="1"/>
              <w:bottom w:val="single" w:color="999999" w:sz="1"/>
              <w:right w:val="single" w:color="999999" w:sz="1"/>
            </w:tcBorders>
            <w:shd w:fill="F5F5F5" w:val="clear"/>
            <w:tcMar>
              <w:top w:type="dxa" w:w="60"/>
              <w:left w:type="dxa" w:w="100"/>
              <w:bottom w:type="dxa" w:w="60"/>
              <w:right w:type="dxa" w:w="100"/>
            </w:tcMar>
          </w:tcPr>
          <w:p>
            <w:pPr>
              <w:spacing w:after="0"/>
              <w:jc w:val="right"/>
            </w:pPr>
            <w:r>
              <w:rPr>
                <w:rFonts w:ascii="Times New Roman" w:cs="Times New Roman" w:eastAsia="Times New Roman" w:hAnsi="Times New Roman"/>
                <w:color w:val="000000"/>
                <w:sz w:val="20"/>
                <w:szCs w:val="20"/>
              </w:rPr>
              <w:t xml:space="preserve">$29,000</w:t>
            </w:r>
          </w:p>
        </w:tc>
      </w:tr>
      <w:tr>
        <w:tc>
          <w:tcPr>
            <w:tcW w:type="dxa" w:w="4800"/>
            <w:tcBorders>
              <w:top w:val="single" w:color="999999" w:sz="1"/>
              <w:left w:val="single" w:color="999999" w:sz="1"/>
              <w:bottom w:val="single" w:color="999999" w:sz="1"/>
              <w:right w:val="single" w:color="999999" w:sz="1"/>
            </w:tcBorders>
            <w:tcMar>
              <w:top w:type="dxa" w:w="60"/>
              <w:left w:type="dxa" w:w="100"/>
              <w:bottom w:type="dxa" w:w="60"/>
              <w:right w:type="dxa" w:w="100"/>
            </w:tcMar>
          </w:tcPr>
          <w:p>
            <w:pPr>
              <w:spacing w:after="0"/>
              <w:jc w:val="left"/>
            </w:pPr>
            <w:r>
              <w:rPr>
                <w:rFonts w:ascii="Times New Roman" w:cs="Times New Roman" w:eastAsia="Times New Roman" w:hAnsi="Times New Roman"/>
                <w:color w:val="000000"/>
                <w:sz w:val="20"/>
                <w:szCs w:val="20"/>
              </w:rPr>
              <w:t xml:space="preserve">Punitive damages (per Ridley precedent)</w:t>
            </w:r>
          </w:p>
        </w:tc>
        <w:tc>
          <w:tcPr>
            <w:tcW w:type="dxa" w:w="2280"/>
            <w:tcBorders>
              <w:top w:val="single" w:color="999999" w:sz="1"/>
              <w:left w:val="single" w:color="999999" w:sz="1"/>
              <w:bottom w:val="single" w:color="999999" w:sz="1"/>
              <w:right w:val="single" w:color="999999" w:sz="1"/>
            </w:tcBorders>
            <w:tcMar>
              <w:top w:type="dxa" w:w="60"/>
              <w:left w:type="dxa" w:w="100"/>
              <w:bottom w:type="dxa" w:w="60"/>
              <w:right w:type="dxa" w:w="100"/>
            </w:tcMar>
          </w:tcPr>
          <w:p>
            <w:pPr>
              <w:spacing w:after="0"/>
              <w:jc w:val="right"/>
            </w:pPr>
            <w:r>
              <w:rPr>
                <w:rFonts w:ascii="Times New Roman" w:cs="Times New Roman" w:eastAsia="Times New Roman" w:hAnsi="Times New Roman"/>
                <w:color w:val="000000"/>
                <w:sz w:val="20"/>
                <w:szCs w:val="20"/>
              </w:rPr>
              <w:t xml:space="preserve">$0</w:t>
            </w:r>
          </w:p>
        </w:tc>
        <w:tc>
          <w:tcPr>
            <w:tcW w:type="dxa" w:w="2280"/>
            <w:tcBorders>
              <w:top w:val="single" w:color="999999" w:sz="1"/>
              <w:left w:val="single" w:color="999999" w:sz="1"/>
              <w:bottom w:val="single" w:color="999999" w:sz="1"/>
              <w:right w:val="single" w:color="999999" w:sz="1"/>
            </w:tcBorders>
            <w:tcMar>
              <w:top w:type="dxa" w:w="60"/>
              <w:left w:type="dxa" w:w="100"/>
              <w:bottom w:type="dxa" w:w="60"/>
              <w:right w:type="dxa" w:w="100"/>
            </w:tcMar>
          </w:tcPr>
          <w:p>
            <w:pPr>
              <w:spacing w:after="0"/>
              <w:jc w:val="right"/>
            </w:pPr>
            <w:r>
              <w:rPr>
                <w:rFonts w:ascii="Times New Roman" w:cs="Times New Roman" w:eastAsia="Times New Roman" w:hAnsi="Times New Roman"/>
                <w:color w:val="000000"/>
                <w:sz w:val="20"/>
                <w:szCs w:val="20"/>
              </w:rPr>
              <w:t xml:space="preserve">$275,000</w:t>
            </w:r>
          </w:p>
        </w:tc>
      </w:tr>
      <w:tr>
        <w:tc>
          <w:tcPr>
            <w:tcW w:type="dxa" w:w="4800"/>
            <w:tcBorders>
              <w:top w:val="single" w:color="999999" w:sz="1"/>
              <w:left w:val="single" w:color="999999" w:sz="1"/>
              <w:bottom w:val="single" w:color="999999" w:sz="1"/>
              <w:right w:val="single" w:color="999999" w:sz="1"/>
            </w:tcBorders>
            <w:tcMar>
              <w:top w:type="dxa" w:w="60"/>
              <w:left w:type="dxa" w:w="100"/>
              <w:bottom w:type="dxa" w:w="60"/>
              <w:right w:type="dxa" w:w="100"/>
            </w:tcMar>
          </w:tcPr>
          <w:p>
            <w:pPr>
              <w:spacing w:after="0"/>
              <w:jc w:val="left"/>
            </w:pPr>
            <w:r>
              <w:rPr>
                <w:rFonts w:ascii="Times New Roman" w:cs="Times New Roman" w:eastAsia="Times New Roman" w:hAnsi="Times New Roman"/>
                <w:b/>
                <w:bCs/>
                <w:color w:val="000000"/>
                <w:sz w:val="20"/>
                <w:szCs w:val="20"/>
              </w:rPr>
              <w:t xml:space="preserve">TOTAL — UNIT 208 ALONE</w:t>
            </w:r>
          </w:p>
        </w:tc>
        <w:tc>
          <w:tcPr>
            <w:tcW w:type="dxa" w:w="2280"/>
            <w:tcBorders>
              <w:top w:val="single" w:color="999999" w:sz="1"/>
              <w:left w:val="single" w:color="999999" w:sz="1"/>
              <w:bottom w:val="single" w:color="999999" w:sz="1"/>
              <w:right w:val="single" w:color="999999" w:sz="1"/>
            </w:tcBorders>
            <w:tcMar>
              <w:top w:type="dxa" w:w="60"/>
              <w:left w:type="dxa" w:w="100"/>
              <w:bottom w:type="dxa" w:w="60"/>
              <w:right w:type="dxa" w:w="100"/>
            </w:tcMar>
          </w:tcPr>
          <w:p>
            <w:pPr>
              <w:spacing w:after="0"/>
              <w:jc w:val="right"/>
            </w:pPr>
            <w:r>
              <w:rPr>
                <w:rFonts w:ascii="Times New Roman" w:cs="Times New Roman" w:eastAsia="Times New Roman" w:hAnsi="Times New Roman"/>
                <w:b/>
                <w:bCs/>
                <w:color w:val="000000"/>
                <w:sz w:val="20"/>
                <w:szCs w:val="20"/>
              </w:rPr>
              <w:t xml:space="preserve">$138,844</w:t>
            </w:r>
          </w:p>
        </w:tc>
        <w:tc>
          <w:tcPr>
            <w:tcW w:type="dxa" w:w="2280"/>
            <w:tcBorders>
              <w:top w:val="single" w:color="999999" w:sz="1"/>
              <w:left w:val="single" w:color="999999" w:sz="1"/>
              <w:bottom w:val="single" w:color="999999" w:sz="1"/>
              <w:right w:val="single" w:color="999999" w:sz="1"/>
            </w:tcBorders>
            <w:tcMar>
              <w:top w:type="dxa" w:w="60"/>
              <w:left w:type="dxa" w:w="100"/>
              <w:bottom w:type="dxa" w:w="60"/>
              <w:right w:type="dxa" w:w="100"/>
            </w:tcMar>
          </w:tcPr>
          <w:p>
            <w:pPr>
              <w:spacing w:after="0"/>
              <w:jc w:val="right"/>
            </w:pPr>
            <w:r>
              <w:rPr>
                <w:rFonts w:ascii="Times New Roman" w:cs="Times New Roman" w:eastAsia="Times New Roman" w:hAnsi="Times New Roman"/>
                <w:b/>
                <w:bCs/>
                <w:color w:val="000000"/>
                <w:sz w:val="20"/>
                <w:szCs w:val="20"/>
              </w:rPr>
              <w:t xml:space="preserve">$767,494+</w:t>
            </w:r>
          </w:p>
        </w:tc>
      </w:tr>
    </w:tbl>
    <w:p>
      <w:pPr>
        <w:spacing w:after="200" w:before="0" w:line="276" w:lineRule="auto"/>
        <w:jc w:val="both"/>
      </w:pPr>
      <w:r>
        <w:rPr>
          <w:rFonts w:ascii="Times New Roman" w:cs="Times New Roman" w:eastAsia="Times New Roman" w:hAnsi="Times New Roman"/>
          <w:b w:val="false"/>
          <w:bCs w:val="false"/>
          <w:i w:val="false"/>
          <w:iCs w:val="false"/>
          <w:sz w:val="24"/>
          <w:szCs w:val="24"/>
        </w:rPr>
        <w:t xml:space="preserve"/>
      </w:r>
    </w:p>
    <w:p>
      <w:pPr>
        <w:spacing w:after="200" w:before="0" w:line="276" w:lineRule="auto"/>
        <w:jc w:val="both"/>
      </w:pPr>
      <w:r>
        <w:rPr>
          <w:rFonts w:ascii="Times New Roman" w:cs="Times New Roman" w:eastAsia="Times New Roman" w:hAnsi="Times New Roman"/>
          <w:i/>
          <w:iCs/>
          <w:sz w:val="20"/>
          <w:szCs w:val="20"/>
        </w:rPr>
        <w:t xml:space="preserve">Note on lost rental income:</w:t>
      </w:r>
      <w:r>
        <w:rPr>
          <w:rFonts w:ascii="Times New Roman" w:cs="Times New Roman" w:eastAsia="Times New Roman" w:hAnsi="Times New Roman"/>
          <w:sz w:val="20"/>
          <w:szCs w:val="20"/>
        </w:rPr>
        <w:t xml:space="preserve"> Lost rental income is calculated from the date the tenant vacated through the projected date the unit will pass clearance testing after remediation. Each month of continued inaction increases this figure.</w:t>
      </w:r>
    </w:p>
    <w:p>
      <w:pPr>
        <w:spacing w:after="200" w:before="0" w:line="276" w:lineRule="auto"/>
        <w:jc w:val="both"/>
      </w:pPr>
      <w:r>
        <w:rPr>
          <w:rFonts w:ascii="Times New Roman" w:cs="Times New Roman" w:eastAsia="Times New Roman" w:hAnsi="Times New Roman"/>
          <w:i/>
          <w:iCs/>
          <w:sz w:val="20"/>
          <w:szCs w:val="20"/>
        </w:rPr>
        <w:t xml:space="preserve">Note on emotional distress:</w:t>
      </w:r>
      <w:r>
        <w:rPr>
          <w:rFonts w:ascii="Times New Roman" w:cs="Times New Roman" w:eastAsia="Times New Roman" w:hAnsi="Times New Roman"/>
          <w:sz w:val="20"/>
          <w:szCs w:val="20"/>
        </w:rPr>
        <w:t xml:space="preserve"> California courts have awarded emotional distress damages in HOA mold cases where the board’s conduct is found to constitute bad faith, oppression, or conscious disregard of the homeowner’s rights. The </w:t>
      </w:r>
      <w:r>
        <w:rPr>
          <w:rFonts w:ascii="Times New Roman" w:cs="Times New Roman" w:eastAsia="Times New Roman" w:hAnsi="Times New Roman"/>
          <w:i/>
          <w:iCs/>
          <w:sz w:val="20"/>
          <w:szCs w:val="20"/>
        </w:rPr>
        <w:t xml:space="preserve">Ridley</w:t>
      </w:r>
      <w:r>
        <w:rPr>
          <w:rFonts w:ascii="Times New Roman" w:cs="Times New Roman" w:eastAsia="Times New Roman" w:hAnsi="Times New Roman"/>
          <w:sz w:val="20"/>
          <w:szCs w:val="20"/>
        </w:rPr>
        <w:t xml:space="preserve"> court upheld such an award on the basis of the board’s deceptive conduct and willful failure to investigate. Emotional distress damages are contingent on the nature and severity of the Board’s conduct.</w:t>
      </w:r>
    </w:p>
    <w:p>
      <w:pPr>
        <w:spacing w:after="300" w:before="0" w:line="276" w:lineRule="auto"/>
        <w:jc w:val="both"/>
      </w:pPr>
      <w:r>
        <w:rPr>
          <w:rFonts w:ascii="Times New Roman" w:cs="Times New Roman" w:eastAsia="Times New Roman" w:hAnsi="Times New Roman"/>
          <w:i/>
          <w:iCs/>
          <w:sz w:val="20"/>
          <w:szCs w:val="20"/>
        </w:rPr>
        <w:t xml:space="preserve">Note on punitive damages:</w:t>
      </w:r>
      <w:r>
        <w:rPr>
          <w:rFonts w:ascii="Times New Roman" w:cs="Times New Roman" w:eastAsia="Times New Roman" w:hAnsi="Times New Roman"/>
          <w:sz w:val="20"/>
          <w:szCs w:val="20"/>
        </w:rPr>
        <w:t xml:space="preserve"> Punitive damages are recoverable under Civil Code § 3294 upon proof of oppression, fraud, or malice by clear and convincing evidence. The </w:t>
      </w:r>
      <w:r>
        <w:rPr>
          <w:rFonts w:ascii="Times New Roman" w:cs="Times New Roman" w:eastAsia="Times New Roman" w:hAnsi="Times New Roman"/>
          <w:i/>
          <w:iCs/>
          <w:sz w:val="20"/>
          <w:szCs w:val="20"/>
        </w:rPr>
        <w:t xml:space="preserve">Ridley</w:t>
      </w:r>
      <w:r>
        <w:rPr>
          <w:rFonts w:ascii="Times New Roman" w:cs="Times New Roman" w:eastAsia="Times New Roman" w:hAnsi="Times New Roman"/>
          <w:sz w:val="20"/>
          <w:szCs w:val="20"/>
        </w:rPr>
        <w:t xml:space="preserve"> court affirmed $250,000 in punitive damages against the HOA and $25,000 against the board president personally. The Board’s continued refusal to repair the roof despite documented mold contamination at health-hazardous levels may support a finding of conscious disregard.</w:t>
      </w:r>
    </w:p>
    <w:p>
      <w:pPr>
        <w:spacing w:after="200" w:before="0" w:line="276" w:lineRule="auto"/>
        <w:jc w:val="both"/>
        <w:keepNext/>
      </w:pPr>
      <w:r>
        <w:rPr>
          <w:rFonts w:ascii="Times New Roman" w:cs="Times New Roman" w:eastAsia="Times New Roman" w:hAnsi="Times New Roman"/>
          <w:b/>
          <w:bCs/>
          <w:sz w:val="24"/>
          <w:szCs w:val="24"/>
        </w:rPr>
        <w:t xml:space="preserve">These figures represent damages for Unit 208 alone.</w:t>
      </w:r>
      <w:r>
        <w:rPr>
          <w:rFonts w:ascii="Times New Roman" w:cs="Times New Roman" w:eastAsia="Times New Roman" w:hAnsi="Times New Roman"/>
          <w:sz w:val="24"/>
          <w:szCs w:val="24"/>
        </w:rPr>
        <w:t xml:space="preserve"> If the other eight (8) affected unit owners pursue similar claims — and they have every legal right and economic incentive to do so — the Association’s aggregate exposure could reach </w:t>
      </w:r>
      <w:r>
        <w:rPr>
          <w:rFonts w:ascii="Times New Roman" w:cs="Times New Roman" w:eastAsia="Times New Roman" w:hAnsi="Times New Roman"/>
          <w:b/>
          <w:bCs/>
          <w:sz w:val="24"/>
          <w:szCs w:val="24"/>
        </w:rPr>
        <w:t xml:space="preserve">several million dollars.</w:t>
      </w:r>
      <w:r>
        <w:rPr>
          <w:rFonts w:ascii="Times New Roman" w:cs="Times New Roman" w:eastAsia="Times New Roman" w:hAnsi="Times New Roman"/>
          <w:sz w:val="24"/>
          <w:szCs w:val="24"/>
        </w:rPr>
        <w:t xml:space="preserve"> The Association should also consider that every month of delay increases total damages across all affected units.</w:t>
      </w:r>
    </w:p>
    <w:p>
      <w:pPr>
        <w:spacing w:before="360" w:after="200" w:line="276" w:lineRule="auto"/>
        <w:jc w:val="left"/>
        <w:keepNext/>
      </w:pPr>
      <w:r>
        <w:rPr>
          <w:rFonts w:ascii="Times New Roman" w:cs="Times New Roman" w:eastAsia="Times New Roman" w:hAnsi="Times New Roman"/>
          <w:b/>
          <w:bCs/>
          <w:sz w:val="28"/>
          <w:szCs w:val="28"/>
          <w:u w:val="single"/>
        </w:rPr>
        <w:t xml:space="preserve">VI. Attorney Fees Are Mandatory</w:t>
      </w:r>
    </w:p>
    <w:p>
      <w:pPr>
        <w:spacing w:after="200" w:before="0" w:line="276" w:lineRule="auto"/>
        <w:jc w:val="both"/>
        <w:keepNext/>
      </w:pPr>
      <w:r>
        <w:rPr>
          <w:rFonts w:ascii="Times New Roman" w:cs="Times New Roman" w:eastAsia="Times New Roman" w:hAnsi="Times New Roman"/>
          <w:sz w:val="24"/>
          <w:szCs w:val="24"/>
        </w:rPr>
        <w:t xml:space="preserve">Civil Code Section 5975(c) provides: “In an action to enforce the governing documents, </w:t>
      </w:r>
      <w:r>
        <w:rPr>
          <w:rFonts w:ascii="Times New Roman" w:cs="Times New Roman" w:eastAsia="Times New Roman" w:hAnsi="Times New Roman"/>
          <w:b/>
          <w:bCs/>
          <w:sz w:val="24"/>
          <w:szCs w:val="24"/>
        </w:rPr>
        <w:t xml:space="preserve">the prevailing party shall be awarded reasonable attorney’s fees and costs.”</w:t>
      </w:r>
      <w:r>
        <w:rPr>
          <w:rFonts w:ascii="Times New Roman" w:cs="Times New Roman" w:eastAsia="Times New Roman" w:hAnsi="Times New Roman"/>
          <w:sz w:val="24"/>
          <w:szCs w:val="24"/>
        </w:rPr>
        <w:t xml:space="preserve"> The word “shall” is mandatory and non-discretionary. </w:t>
      </w:r>
      <w:r>
        <w:rPr>
          <w:rFonts w:ascii="Times New Roman" w:cs="Times New Roman" w:eastAsia="Times New Roman" w:hAnsi="Times New Roman"/>
          <w:i/>
          <w:iCs/>
          <w:sz w:val="24"/>
          <w:szCs w:val="24"/>
        </w:rPr>
        <w:t xml:space="preserve">Salehi v. Surfside III Condominium Owners Association</w:t>
      </w:r>
      <w:r>
        <w:rPr>
          <w:rFonts w:ascii="Times New Roman" w:cs="Times New Roman" w:eastAsia="Times New Roman" w:hAnsi="Times New Roman"/>
          <w:sz w:val="24"/>
          <w:szCs w:val="24"/>
        </w:rPr>
        <w:t xml:space="preserve"> (2011) 200 Cal.App.4th 1146 confirmed that a fee award under § 5975(c) is “a matter of right.” </w:t>
      </w:r>
      <w:r>
        <w:rPr>
          <w:rFonts w:ascii="Times New Roman" w:cs="Times New Roman" w:eastAsia="Times New Roman" w:hAnsi="Times New Roman"/>
          <w:i/>
          <w:iCs/>
          <w:sz w:val="24"/>
          <w:szCs w:val="24"/>
        </w:rPr>
        <w:t xml:space="preserve">Rancho Mirage Country Club Homeowners Assn. v. Hazelbaker</w:t>
      </w:r>
      <w:r>
        <w:rPr>
          <w:rFonts w:ascii="Times New Roman" w:cs="Times New Roman" w:eastAsia="Times New Roman" w:hAnsi="Times New Roman"/>
          <w:sz w:val="24"/>
          <w:szCs w:val="24"/>
        </w:rPr>
        <w:t xml:space="preserve"> (2016) 2 Cal.App.5th 252 held that pre-litigation ADR fees are also recoverable as part of the prevailing party’s fee award.</w:t>
      </w:r>
    </w:p>
    <w:p>
      <w:pPr>
        <w:spacing w:after="200" w:before="0" w:line="276" w:lineRule="auto"/>
        <w:jc w:val="both"/>
      </w:pPr>
      <w:r>
        <w:rPr>
          <w:rFonts w:ascii="Times New Roman" w:cs="Times New Roman" w:eastAsia="Times New Roman" w:hAnsi="Times New Roman"/>
          <w:sz w:val="24"/>
          <w:szCs w:val="24"/>
        </w:rPr>
        <w:t xml:space="preserve">This means that if I prevail in an enforcement action — and the unambiguous language of Article III, Section 6(A) and Civil Code § 4775 makes success highly probable — the Association will be required to pay my attorney’s fees </w:t>
      </w:r>
      <w:r>
        <w:rPr>
          <w:rFonts w:ascii="Times New Roman" w:cs="Times New Roman" w:eastAsia="Times New Roman" w:hAnsi="Times New Roman"/>
          <w:i/>
          <w:iCs/>
          <w:sz w:val="24"/>
          <w:szCs w:val="24"/>
        </w:rPr>
        <w:t xml:space="preserve">in addition to</w:t>
      </w:r>
      <w:r>
        <w:rPr>
          <w:rFonts w:ascii="Times New Roman" w:cs="Times New Roman" w:eastAsia="Times New Roman" w:hAnsi="Times New Roman"/>
          <w:sz w:val="24"/>
          <w:szCs w:val="24"/>
        </w:rPr>
        <w:t xml:space="preserve"> all compensatory and punitive damages. Attorney fee awards in California HOA cases routinely range from $50,000 to $200,000 or more. This fee-shifting provision is one of the primary reasons that qualified HOA litigation attorneys are willing to represent homeowners on contingency.</w:t>
      </w:r>
    </w:p>
    <w:p>
      <w:pPr>
        <w:spacing w:before="360" w:after="200" w:line="276" w:lineRule="auto"/>
        <w:jc w:val="left"/>
        <w:keepNext/>
      </w:pPr>
      <w:r>
        <w:rPr>
          <w:rFonts w:ascii="Times New Roman" w:cs="Times New Roman" w:eastAsia="Times New Roman" w:hAnsi="Times New Roman"/>
          <w:b/>
          <w:bCs/>
          <w:sz w:val="28"/>
          <w:szCs w:val="28"/>
          <w:u w:val="single"/>
        </w:rPr>
        <w:t xml:space="preserve">VI-A. Insurance Tender Demand</w:t>
      </w:r>
    </w:p>
    <w:p>
      <w:pPr>
        <w:spacing w:after="200" w:before="0" w:line="276" w:lineRule="auto"/>
        <w:jc w:val="both"/>
      </w:pPr>
      <w:r>
        <w:rPr>
          <w:rFonts w:ascii="Times New Roman" w:cs="Times New Roman" w:eastAsia="Times New Roman" w:hAnsi="Times New Roman"/>
          <w:sz w:val="24"/>
          <w:szCs w:val="24"/>
        </w:rPr>
        <w:t xml:space="preserve">The Association’s Board of Directors has a fiduciary duty to tender legitimate claims to the Association’s master insurance carrier. Article III, Section 6(B)(ii) of the CC&amp;Rs requires the Association to maintain fire insurance with extended coverage endorsement for the full insurable replacement value of the Units and Common Area. Water damage to interior units caused by a leaking common-area roof is a potentially covered loss under the Association’s master policy, depending on policy terms and the circumstances of the loss.</w:t>
      </w:r>
    </w:p>
    <w:p>
      <w:pPr>
        <w:spacing w:after="200" w:before="0" w:line="276" w:lineRule="auto"/>
        <w:jc w:val="both"/>
        <w:keepNext/>
      </w:pPr>
      <w:r>
        <w:rPr>
          <w:rFonts w:ascii="Times New Roman" w:cs="Times New Roman" w:eastAsia="Times New Roman" w:hAnsi="Times New Roman"/>
          <w:b/>
          <w:bCs/>
          <w:sz w:val="24"/>
          <w:szCs w:val="24"/>
        </w:rPr>
        <w:t xml:space="preserve">I hereby demand that the Board file a claim on the Association’s master insurance policy for the roof damage, water intrusion, and resulting mold contamination within ten (10) business days of receipt of this letter.</w:t>
      </w:r>
      <w:r>
        <w:rPr>
          <w:rFonts w:ascii="Times New Roman" w:cs="Times New Roman" w:eastAsia="Times New Roman" w:hAnsi="Times New Roman"/>
          <w:sz w:val="24"/>
          <w:szCs w:val="24"/>
        </w:rPr>
        <w:t xml:space="preserve"> Failure to tender a legitimate claim to the Association’s insurer constitutes an independent breach of fiduciary duty and deprives the Association and its members of insurance proceeds that could fund the repair. If the Board has already tendered a claim and it was denied, I demand production of the denial letter and all related correspondence as part of my Civil Code Section 5200 document demand served simultaneously with this letter. If the insurer denied coverage based on a deferred-maintenance exclusion, that denial itself constitutes evidence that the Board failed to maintain the roof in a timely manner—further supporting the breach of CC&amp;Rs and breach of fiduciary duty claims described above.</w:t>
      </w:r>
    </w:p>
    <w:p>
      <w:pPr>
        <w:spacing w:before="360" w:after="200" w:line="276" w:lineRule="auto"/>
        <w:jc w:val="left"/>
        <w:keepNext/>
      </w:pPr>
      <w:r>
        <w:rPr>
          <w:rFonts w:ascii="Times New Roman" w:cs="Times New Roman" w:eastAsia="Times New Roman" w:hAnsi="Times New Roman"/>
          <w:b/>
          <w:bCs/>
          <w:sz w:val="28"/>
          <w:szCs w:val="28"/>
          <w:u w:val="single"/>
        </w:rPr>
        <w:t xml:space="preserve">VII. Multi-Front Regulatory Enforcement</w:t>
      </w:r>
    </w:p>
    <w:p>
      <w:pPr>
        <w:spacing w:after="200" w:before="0" w:line="276" w:lineRule="auto"/>
        <w:jc w:val="both"/>
      </w:pPr>
      <w:r>
        <w:rPr>
          <w:rFonts w:ascii="Times New Roman" w:cs="Times New Roman" w:eastAsia="Times New Roman" w:hAnsi="Times New Roman"/>
          <w:b w:val="false"/>
          <w:bCs w:val="false"/>
          <w:i w:val="false"/>
          <w:iCs w:val="false"/>
          <w:sz w:val="24"/>
          <w:szCs w:val="24"/>
        </w:rPr>
        <w:t xml:space="preserve">In addition to civil litigation, I intend to pursue the following regulatory and administrative remedies simultaneously:</w:t>
      </w:r>
    </w:p>
    <w:p>
      <w:pPr>
        <w:spacing w:after="200" w:before="0" w:line="276" w:lineRule="auto"/>
        <w:ind w:left="720"/>
        <w:jc w:val="both"/>
        <w:keepNext/>
      </w:pPr>
      <w:r>
        <w:rPr>
          <w:rFonts w:ascii="Times New Roman" w:cs="Times New Roman" w:eastAsia="Times New Roman" w:hAnsi="Times New Roman"/>
          <w:b/>
          <w:bCs/>
          <w:sz w:val="24"/>
          <w:szCs w:val="24"/>
        </w:rPr>
        <w:t xml:space="preserve">(a) Los Angeles County Department of Public Health</w:t>
      </w:r>
      <w:r>
        <w:rPr>
          <w:rFonts w:ascii="Times New Roman" w:cs="Times New Roman" w:eastAsia="Times New Roman" w:hAnsi="Times New Roman"/>
          <w:sz w:val="24"/>
          <w:szCs w:val="24"/>
        </w:rPr>
        <w:t xml:space="preserve"> — formal mold and habitability complaint for inspection. The Department has authority to issue violation notices and order remediation of health hazards.</w:t>
      </w:r>
    </w:p>
    <w:p>
      <w:pPr>
        <w:spacing w:after="200" w:before="0" w:line="276" w:lineRule="auto"/>
        <w:ind w:left="720"/>
        <w:jc w:val="both"/>
        <w:keepNext/>
      </w:pPr>
      <w:r>
        <w:rPr>
          <w:rFonts w:ascii="Times New Roman" w:cs="Times New Roman" w:eastAsia="Times New Roman" w:hAnsi="Times New Roman"/>
          <w:b/>
          <w:bCs/>
          <w:sz w:val="24"/>
          <w:szCs w:val="24"/>
        </w:rPr>
        <w:t xml:space="preserve">(b) City of Los Angeles Housing Department (LAHD)</w:t>
      </w:r>
      <w:r>
        <w:rPr>
          <w:rFonts w:ascii="Times New Roman" w:cs="Times New Roman" w:eastAsia="Times New Roman" w:hAnsi="Times New Roman"/>
          <w:sz w:val="24"/>
          <w:szCs w:val="24"/>
        </w:rPr>
        <w:t xml:space="preserve"> — habitability complaint for the leaking roof, water damage, and visible mold. LAHD conducts inspections and issues orders to correct substandard conditions.</w:t>
      </w:r>
    </w:p>
    <w:p>
      <w:pPr>
        <w:spacing w:after="200" w:before="0" w:line="276" w:lineRule="auto"/>
        <w:ind w:left="720"/>
        <w:jc w:val="both"/>
        <w:keepNext/>
      </w:pPr>
      <w:r>
        <w:rPr>
          <w:rFonts w:ascii="Times New Roman" w:cs="Times New Roman" w:eastAsia="Times New Roman" w:hAnsi="Times New Roman"/>
          <w:b/>
          <w:bCs/>
          <w:sz w:val="24"/>
          <w:szCs w:val="24"/>
        </w:rPr>
        <w:t xml:space="preserve">(c) LA Department of Building and Safety (LADBS)</w:t>
      </w:r>
      <w:r>
        <w:rPr>
          <w:rFonts w:ascii="Times New Roman" w:cs="Times New Roman" w:eastAsia="Times New Roman" w:hAnsi="Times New Roman"/>
          <w:sz w:val="24"/>
          <w:szCs w:val="24"/>
        </w:rPr>
        <w:t xml:space="preserve"> — building code violation complaint for chronic water intrusion and structural damage to the building envelope.</w:t>
      </w:r>
    </w:p>
    <w:p>
      <w:pPr>
        <w:spacing w:after="200" w:before="0" w:line="276" w:lineRule="auto"/>
        <w:ind w:left="720"/>
        <w:jc w:val="both"/>
        <w:keepNext/>
      </w:pPr>
      <w:r>
        <w:rPr>
          <w:rFonts w:ascii="Times New Roman" w:cs="Times New Roman" w:eastAsia="Times New Roman" w:hAnsi="Times New Roman"/>
          <w:b/>
          <w:bCs/>
          <w:sz w:val="24"/>
          <w:szCs w:val="24"/>
        </w:rPr>
        <w:t xml:space="preserve">(d) California Attorney General, Public Inquiry Unit</w:t>
      </w:r>
      <w:r>
        <w:rPr>
          <w:rFonts w:ascii="Times New Roman" w:cs="Times New Roman" w:eastAsia="Times New Roman" w:hAnsi="Times New Roman"/>
          <w:sz w:val="24"/>
          <w:szCs w:val="24"/>
        </w:rPr>
        <w:t xml:space="preserve"> — HOA rights violations, including the Board’s failure to comply with the Davis-Stirling Act’s mandatory maintenance provisions.</w:t>
      </w:r>
    </w:p>
    <w:p>
      <w:pPr>
        <w:spacing w:after="300" w:before="0" w:line="276" w:lineRule="auto"/>
        <w:ind w:left="720"/>
        <w:jc w:val="both"/>
        <w:keepNext/>
      </w:pPr>
      <w:r>
        <w:rPr>
          <w:rFonts w:ascii="Times New Roman" w:cs="Times New Roman" w:eastAsia="Times New Roman" w:hAnsi="Times New Roman"/>
          <w:b/>
          <w:bCs/>
          <w:sz w:val="24"/>
          <w:szCs w:val="24"/>
        </w:rPr>
        <w:t xml:space="preserve">(e) Better Business Bureau</w:t>
      </w:r>
      <w:r>
        <w:rPr>
          <w:rFonts w:ascii="Times New Roman" w:cs="Times New Roman" w:eastAsia="Times New Roman" w:hAnsi="Times New Roman"/>
          <w:sz w:val="24"/>
          <w:szCs w:val="24"/>
        </w:rPr>
        <w:t xml:space="preserve"> — formal complaints against both Uniappartment Homeowners Association and California HOA Solutions LLC for failure to address a documented health hazard.</w:t>
      </w:r>
    </w:p>
    <w:p>
      <w:pPr>
        <w:spacing w:after="200" w:before="0" w:line="276" w:lineRule="auto"/>
        <w:jc w:val="both"/>
      </w:pPr>
      <w:r>
        <w:rPr>
          <w:rFonts w:ascii="Times New Roman" w:cs="Times New Roman" w:eastAsia="Times New Roman" w:hAnsi="Times New Roman"/>
          <w:b w:val="false"/>
          <w:bCs w:val="false"/>
          <w:i w:val="false"/>
          <w:iCs w:val="false"/>
          <w:sz w:val="24"/>
          <w:szCs w:val="24"/>
        </w:rPr>
        <w:t xml:space="preserve">Each of these regulatory channels operates independently of the civil litigation. Government inspections and enforcement orders create additional evidentiary support for the civil claims and impose direct regulatory consequences on the Association and its property manager.</w:t>
      </w:r>
    </w:p>
    <w:p>
      <w:pPr>
        <w:spacing w:before="360" w:after="200" w:line="276" w:lineRule="auto"/>
        <w:jc w:val="left"/>
        <w:keepNext/>
      </w:pPr>
      <w:r>
        <w:rPr>
          <w:rFonts w:ascii="Times New Roman" w:cs="Times New Roman" w:eastAsia="Times New Roman" w:hAnsi="Times New Roman"/>
          <w:b/>
          <w:bCs/>
          <w:sz w:val="28"/>
          <w:szCs w:val="28"/>
          <w:u w:val="single"/>
        </w:rPr>
        <w:t xml:space="preserve">VIII. Final Statement</w:t>
      </w:r>
    </w:p>
    <w:p>
      <w:pPr>
        <w:spacing w:after="200" w:before="0" w:line="276" w:lineRule="auto"/>
        <w:jc w:val="both"/>
      </w:pPr>
      <w:r>
        <w:rPr>
          <w:rFonts w:ascii="Times New Roman" w:cs="Times New Roman" w:eastAsia="Times New Roman" w:hAnsi="Times New Roman"/>
          <w:b w:val="false"/>
          <w:bCs w:val="false"/>
          <w:i w:val="false"/>
          <w:iCs w:val="false"/>
          <w:sz w:val="24"/>
          <w:szCs w:val="24"/>
        </w:rPr>
        <w:t xml:space="preserve">I do not want to litigate. Litigation is expensive, time-consuming, and divisive for the entire community. I would far prefer that the Board exercise its emergency assessment authority, fix the roof, remediate the mold, and allow all of us — all 29 owners — to move forward with our property values protected and our health safeguarded. That is the path I have outlined in Part I of this letter, and it remains open.</w:t>
      </w:r>
    </w:p>
    <w:p>
      <w:pPr>
        <w:spacing w:after="200" w:before="0" w:line="276" w:lineRule="auto"/>
        <w:jc w:val="both"/>
        <w:keepNext/>
      </w:pPr>
      <w:r>
        <w:rPr>
          <w:rFonts w:ascii="Times New Roman" w:cs="Times New Roman" w:eastAsia="Times New Roman" w:hAnsi="Times New Roman"/>
          <w:sz w:val="24"/>
          <w:szCs w:val="24"/>
        </w:rPr>
        <w:t xml:space="preserve">But I will not continue to absorb thousands of dollars in monthly losses, live with confirmed mold contamination in my home, and watch the damage to my property compound month after month while the Association ignores its most basic legal obligation. If the Board does not respond to this letter within </w:t>
      </w:r>
      <w:r>
        <w:rPr>
          <w:rFonts w:ascii="Times New Roman" w:cs="Times New Roman" w:eastAsia="Times New Roman" w:hAnsi="Times New Roman"/>
          <w:b/>
          <w:bCs/>
          <w:sz w:val="24"/>
          <w:szCs w:val="24"/>
        </w:rPr>
        <w:t xml:space="preserve">fifteen (15) calendar days</w:t>
      </w:r>
      <w:r>
        <w:rPr>
          <w:rFonts w:ascii="Times New Roman" w:cs="Times New Roman" w:eastAsia="Times New Roman" w:hAnsi="Times New Roman"/>
          <w:sz w:val="24"/>
          <w:szCs w:val="24"/>
        </w:rPr>
        <w:t xml:space="preserve"> with a written commitment to the resolution outlined in Part I, I will retain counsel and pursue every remedy described in Part II — including emergency injunctive relief under the Section 5950(a)(3) exception to pre-litigation ADR, compensatory damages, punitive damages, and mandatory attorney fees — to their fullest extent.</w:t>
      </w:r>
    </w:p>
    <w:p>
      <w:pPr>
        <w:spacing w:after="200" w:before="0" w:line="276" w:lineRule="auto"/>
        <w:jc w:val="both"/>
      </w:pPr>
      <w:r>
        <w:rPr>
          <w:rFonts w:ascii="Times New Roman" w:cs="Times New Roman" w:eastAsia="Times New Roman" w:hAnsi="Times New Roman"/>
          <w:b w:val="false"/>
          <w:bCs w:val="false"/>
          <w:i w:val="false"/>
          <w:iCs w:val="false"/>
          <w:sz w:val="24"/>
          <w:szCs w:val="24"/>
        </w:rPr>
        <w:t xml:space="preserve">I have simultaneously served a formal demand under Civil Code Section 5200 for inspection and copying of the Association’s records, including all reserve studies, board meeting minutes, insurance policies, maintenance records, and communications regarding the roof and mold. I have also included an evidence preservation demand. Failure to produce records within the statutory timeframe will be treated as further evidence of bad faith.</w:t>
      </w:r>
    </w:p>
    <w:p>
      <w:pPr>
        <w:spacing w:after="600" w:before="0" w:line="276" w:lineRule="auto"/>
        <w:jc w:val="both"/>
      </w:pPr>
      <w:r>
        <w:rPr>
          <w:rFonts w:ascii="Times New Roman" w:cs="Times New Roman" w:eastAsia="Times New Roman" w:hAnsi="Times New Roman"/>
          <w:sz w:val="24"/>
          <w:szCs w:val="24"/>
        </w:rPr>
        <w:t xml:space="preserve">The choice before the Board is straightforward: fix the roof now and resolve this for the cost of the repair, or refuse to act and face litigation that will cost the Association — and by extension, </w:t>
      </w:r>
      <w:r>
        <w:rPr>
          <w:rFonts w:ascii="Times New Roman" w:cs="Times New Roman" w:eastAsia="Times New Roman" w:hAnsi="Times New Roman"/>
          <w:i/>
          <w:iCs/>
          <w:sz w:val="24"/>
          <w:szCs w:val="24"/>
        </w:rPr>
        <w:t xml:space="preserve">all 29 unit owners, including the 20 who voted against the special assessment</w:t>
      </w:r>
      <w:r>
        <w:rPr>
          <w:rFonts w:ascii="Times New Roman" w:cs="Times New Roman" w:eastAsia="Times New Roman" w:hAnsi="Times New Roman"/>
          <w:sz w:val="24"/>
          <w:szCs w:val="24"/>
        </w:rPr>
        <w:t xml:space="preserve"> — many multiples of that amount in damages, attorney fees, and lost property value. I respectfully urge the Board to make the right decision.</w:t>
      </w:r>
    </w:p>
    <w:p>
      <w:pPr>
        <w:pBdr>
          <w:bottom w:val="single" w:color="000000" w:sz="6" w:space="1"/>
        </w:pBdr>
        <w:spacing w:after="300" w:line="276" w:lineRule="auto"/>
      </w:pPr>
    </w:p>
    <w:p>
      <w:pPr>
        <w:spacing w:after="600" w:before="0" w:line="276" w:lineRule="auto"/>
        <w:jc w:val="left"/>
      </w:pPr>
      <w:r>
        <w:rPr>
          <w:rFonts w:ascii="Times New Roman" w:cs="Times New Roman" w:eastAsia="Times New Roman" w:hAnsi="Times New Roman"/>
          <w:b w:val="false"/>
          <w:bCs w:val="false"/>
          <w:i w:val="false"/>
          <w:iCs w:val="false"/>
          <w:sz w:val="24"/>
          <w:szCs w:val="24"/>
        </w:rPr>
        <w:t xml:space="preserve">Respectfully submitted,</w:t>
      </w:r>
    </w:p>
    <w:p>
      <w:pPr>
        <w:spacing w:after="60" w:before="0" w:line="276" w:lineRule="auto"/>
        <w:jc w:val="left"/>
      </w:pPr>
      <w:r>
        <w:rPr>
          <w:rFonts w:ascii="Times New Roman" w:cs="Times New Roman" w:eastAsia="Times New Roman" w:hAnsi="Times New Roman"/>
          <w:b w:val="false"/>
          <w:bCs w:val="false"/>
          <w:i w:val="false"/>
          <w:iCs w:val="false"/>
          <w:sz w:val="24"/>
          <w:szCs w:val="24"/>
        </w:rPr>
        <w:t xml:space="preserve">_________________________________________</w:t>
      </w:r>
    </w:p>
    <w:p>
      <w:pPr>
        <w:spacing w:after="60" w:before="0" w:line="276" w:lineRule="auto"/>
        <w:jc w:val="left"/>
        <w:keepNext/>
      </w:pPr>
      <w:r>
        <w:rPr>
          <w:rFonts w:ascii="Times New Roman" w:cs="Times New Roman" w:eastAsia="Times New Roman" w:hAnsi="Times New Roman"/>
          <w:b/>
          <w:bCs/>
          <w:i w:val="false"/>
          <w:iCs w:val="false"/>
          <w:sz w:val="24"/>
          <w:szCs w:val="24"/>
        </w:rPr>
        <w:t xml:space="preserve">Jose Segura</w:t>
      </w:r>
    </w:p>
    <w:p>
      <w:pPr>
        <w:spacing w:after="60" w:before="0" w:line="276" w:lineRule="auto"/>
        <w:jc w:val="left"/>
      </w:pPr>
      <w:r>
        <w:rPr>
          <w:rFonts w:ascii="Times New Roman" w:cs="Times New Roman" w:eastAsia="Times New Roman" w:hAnsi="Times New Roman"/>
          <w:b w:val="false"/>
          <w:bCs w:val="false"/>
          <w:i w:val="false"/>
          <w:iCs w:val="false"/>
          <w:sz w:val="24"/>
          <w:szCs w:val="24"/>
        </w:rPr>
        <w:t xml:space="preserve">Owner of Record, Unit 208</w:t>
      </w:r>
    </w:p>
    <w:p>
      <w:pPr>
        <w:spacing w:after="60" w:before="0" w:line="276" w:lineRule="auto"/>
        <w:jc w:val="left"/>
      </w:pPr>
      <w:r>
        <w:rPr>
          <w:rFonts w:ascii="Times New Roman" w:cs="Times New Roman" w:eastAsia="Times New Roman" w:hAnsi="Times New Roman"/>
          <w:b w:val="false"/>
          <w:bCs w:val="false"/>
          <w:i w:val="false"/>
          <w:iCs w:val="false"/>
          <w:sz w:val="24"/>
          <w:szCs w:val="24"/>
        </w:rPr>
        <w:t xml:space="preserve">15516 Nordhoff Street, #208, North Hills, California 91343</w:t>
      </w:r>
    </w:p>
    <w:p>
      <w:pPr>
        <w:spacing w:after="60" w:before="0" w:line="276" w:lineRule="auto"/>
        <w:jc w:val="left"/>
      </w:pPr>
      <w:r>
        <w:rPr>
          <w:rFonts w:ascii="Times New Roman" w:cs="Times New Roman" w:eastAsia="Times New Roman" w:hAnsi="Times New Roman"/>
          <w:b w:val="false"/>
          <w:bCs w:val="false"/>
          <w:i w:val="false"/>
          <w:iCs w:val="false"/>
          <w:sz w:val="24"/>
          <w:szCs w:val="24"/>
        </w:rPr>
        <w:t xml:space="preserve">Mailing: 1101 W. McArthur Blvd #258, Santa Ana, CA 92707</w:t>
      </w:r>
    </w:p>
    <w:p>
      <w:pPr>
        <w:spacing w:after="400" w:before="0" w:line="276" w:lineRule="auto"/>
        <w:jc w:val="left"/>
      </w:pPr>
      <w:r>
        <w:rPr>
          <w:rFonts w:ascii="Times New Roman" w:cs="Times New Roman" w:eastAsia="Times New Roman" w:hAnsi="Times New Roman"/>
          <w:b w:val="false"/>
          <w:bCs w:val="false"/>
          <w:i w:val="false"/>
          <w:iCs w:val="false"/>
          <w:sz w:val="24"/>
          <w:szCs w:val="24"/>
        </w:rPr>
        <w:t xml:space="preserve">Email: segura.jose5@yahoo.com</w:t>
      </w:r>
    </w:p>
    <w:p>
      <w:pPr>
        <w:spacing w:after="100" w:before="0" w:line="276" w:lineRule="auto"/>
        <w:jc w:val="left"/>
        <w:keepNext/>
      </w:pPr>
      <w:r>
        <w:rPr>
          <w:rFonts w:ascii="Times New Roman" w:cs="Times New Roman" w:eastAsia="Times New Roman" w:hAnsi="Times New Roman"/>
          <w:b/>
          <w:bCs/>
          <w:sz w:val="24"/>
          <w:szCs w:val="24"/>
        </w:rPr>
        <w:t xml:space="preserve">cc (via Certified Mail and Email):</w:t>
      </w:r>
    </w:p>
    <w:p>
      <w:pPr>
        <w:spacing w:after="60" w:before="0" w:line="276" w:lineRule="auto"/>
        <w:ind w:left="720"/>
        <w:jc w:val="left"/>
      </w:pPr>
      <w:r>
        <w:rPr>
          <w:rFonts w:ascii="Times New Roman" w:cs="Times New Roman" w:eastAsia="Times New Roman" w:hAnsi="Times New Roman"/>
          <w:b w:val="false"/>
          <w:bCs w:val="false"/>
          <w:i w:val="false"/>
          <w:iCs w:val="false"/>
          <w:sz w:val="24"/>
          <w:szCs w:val="24"/>
        </w:rPr>
        <w:t xml:space="preserve">Each individual member of the Uniappartment HOA Board of Directors</w:t>
      </w:r>
    </w:p>
    <w:p>
      <w:pPr>
        <w:spacing w:after="60" w:before="0" w:line="276" w:lineRule="auto"/>
        <w:ind w:left="720"/>
        <w:jc w:val="left"/>
      </w:pPr>
      <w:r>
        <w:rPr>
          <w:rFonts w:ascii="Times New Roman" w:cs="Times New Roman" w:eastAsia="Times New Roman" w:hAnsi="Times New Roman"/>
          <w:b w:val="false"/>
          <w:bCs w:val="false"/>
          <w:i w:val="false"/>
          <w:iCs w:val="false"/>
          <w:sz w:val="24"/>
          <w:szCs w:val="24"/>
        </w:rPr>
        <w:t xml:space="preserve">California HOA Solutions LLC — Sabawoon Shewa, CEO</w:t>
      </w:r>
    </w:p>
    <w:p>
      <w:pPr>
        <w:spacing w:after="60" w:before="0" w:line="276" w:lineRule="auto"/>
        <w:ind w:left="720"/>
        <w:jc w:val="left"/>
      </w:pPr>
      <w:r>
        <w:rPr>
          <w:rFonts w:ascii="Times New Roman" w:cs="Times New Roman" w:eastAsia="Times New Roman" w:hAnsi="Times New Roman"/>
          <w:b w:val="false"/>
          <w:bCs w:val="false"/>
          <w:i w:val="false"/>
          <w:iCs w:val="false"/>
          <w:sz w:val="24"/>
          <w:szCs w:val="24"/>
        </w:rPr>
        <w:t xml:space="preserve">Joshua Ochoa, General Manager, California HOA Solutions LLC</w:t>
      </w:r>
    </w:p>
    <w:p>
      <w:pPr>
        <w:spacing w:after="60" w:before="0" w:line="276" w:lineRule="auto"/>
        <w:ind w:left="720"/>
        <w:jc w:val="left"/>
      </w:pPr>
      <w:r>
        <w:rPr>
          <w:rFonts w:ascii="Times New Roman" w:cs="Times New Roman" w:eastAsia="Times New Roman" w:hAnsi="Times New Roman"/>
          <w:b w:val="false"/>
          <w:bCs w:val="false"/>
          <w:i w:val="false"/>
          <w:iCs w:val="false"/>
          <w:sz w:val="24"/>
          <w:szCs w:val="24"/>
        </w:rPr>
        <w:t xml:space="preserve">Association’s Insurance Carrier (to be identified via § 5200 demand)</w:t>
      </w:r>
    </w:p>
    <w:p>
      <w:pPr>
        <w:spacing w:after="300" w:before="0" w:line="276" w:lineRule="auto"/>
        <w:ind w:left="720"/>
        <w:jc w:val="left"/>
      </w:pPr>
      <w:r>
        <w:rPr>
          <w:rFonts w:ascii="Times New Roman" w:cs="Times New Roman" w:eastAsia="Times New Roman" w:hAnsi="Times New Roman"/>
          <w:b w:val="false"/>
          <w:bCs w:val="false"/>
          <w:i w:val="false"/>
          <w:iCs w:val="false"/>
          <w:sz w:val="24"/>
          <w:szCs w:val="24"/>
        </w:rPr>
        <w:t xml:space="preserve">File</w:t>
      </w:r>
    </w:p>
    <w:p>
      <w:pPr>
        <w:spacing w:after="100" w:before="0" w:line="276" w:lineRule="auto"/>
        <w:jc w:val="left"/>
        <w:keepNext/>
      </w:pPr>
      <w:r>
        <w:rPr>
          <w:rFonts w:ascii="Times New Roman" w:cs="Times New Roman" w:eastAsia="Times New Roman" w:hAnsi="Times New Roman"/>
          <w:b/>
          <w:bCs/>
          <w:sz w:val="24"/>
          <w:szCs w:val="24"/>
        </w:rPr>
        <w:t xml:space="preserve">Enclosures:</w:t>
      </w:r>
    </w:p>
    <w:p>
      <w:pPr>
        <w:spacing w:after="60" w:before="0" w:line="276" w:lineRule="auto"/>
        <w:ind w:left="720"/>
        <w:jc w:val="left"/>
      </w:pPr>
      <w:r>
        <w:rPr>
          <w:rFonts w:ascii="Times New Roman" w:cs="Times New Roman" w:eastAsia="Times New Roman" w:hAnsi="Times New Roman"/>
          <w:b w:val="false"/>
          <w:bCs w:val="false"/>
          <w:i w:val="false"/>
          <w:iCs w:val="false"/>
          <w:sz w:val="24"/>
          <w:szCs w:val="24"/>
        </w:rPr>
        <w:t xml:space="preserve">1. Air Quality Test Report (LA Testing / EMSL Order #322508477, collected April 27, 2025, analyzed April 30, 2025)</w:t>
      </w:r>
    </w:p>
    <w:p>
      <w:pPr>
        <w:spacing w:after="60" w:before="0" w:line="276" w:lineRule="auto"/>
        <w:ind w:left="720"/>
        <w:jc w:val="left"/>
      </w:pPr>
      <w:r>
        <w:rPr>
          <w:rFonts w:ascii="Times New Roman" w:cs="Times New Roman" w:eastAsia="Times New Roman" w:hAnsi="Times New Roman"/>
          <w:b w:val="false"/>
          <w:bCs w:val="false"/>
          <w:i w:val="false"/>
          <w:iCs w:val="false"/>
          <w:sz w:val="24"/>
          <w:szCs w:val="24"/>
        </w:rPr>
        <w:t xml:space="preserve">2. Mold Remediation Estimate #337 (Mold &amp; Water Damage Specialist Inc., dated February 6, 2026, total $17,243.53)</w:t>
      </w:r>
    </w:p>
    <w:p>
      <w:pPr>
        <w:spacing w:after="60" w:before="0" w:line="276" w:lineRule="auto"/>
        <w:ind w:left="720"/>
        <w:jc w:val="left"/>
      </w:pPr>
      <w:r>
        <w:rPr>
          <w:rFonts w:ascii="Times New Roman" w:cs="Times New Roman" w:eastAsia="Times New Roman" w:hAnsi="Times New Roman"/>
          <w:b w:val="false"/>
          <w:bCs w:val="false"/>
          <w:i w:val="false"/>
          <w:iCs w:val="false"/>
          <w:sz w:val="24"/>
          <w:szCs w:val="24"/>
        </w:rPr>
        <w:t xml:space="preserve">3. Mold Assessment Report and Swab Results (Cristina Martinez, Mold &amp; Water Damage Specialist Inc., May 1, 2025)</w:t>
      </w:r>
    </w:p>
    <w:p>
      <w:pPr>
        <w:spacing w:after="60" w:before="0" w:line="276" w:lineRule="auto"/>
        <w:ind w:left="720"/>
        <w:jc w:val="left"/>
      </w:pPr>
      <w:r>
        <w:rPr>
          <w:rFonts w:ascii="Times New Roman" w:cs="Times New Roman" w:eastAsia="Times New Roman" w:hAnsi="Times New Roman"/>
          <w:b w:val="false"/>
          <w:bCs w:val="false"/>
          <w:i w:val="false"/>
          <w:iCs w:val="false"/>
          <w:sz w:val="24"/>
          <w:szCs w:val="24"/>
        </w:rPr>
        <w:t xml:space="preserve">4. Photographs of water damage and visible mold in Unit 208</w:t>
      </w:r>
    </w:p>
    <w:p>
      <w:pPr>
        <w:spacing w:after="60" w:before="0" w:line="276" w:lineRule="auto"/>
        <w:ind w:left="720"/>
        <w:jc w:val="left"/>
      </w:pPr>
      <w:r>
        <w:rPr>
          <w:rFonts w:ascii="Times New Roman" w:cs="Times New Roman" w:eastAsia="Times New Roman" w:hAnsi="Times New Roman"/>
          <w:b w:val="false"/>
          <w:bCs w:val="false"/>
          <w:i w:val="false"/>
          <w:iCs w:val="false"/>
          <w:sz w:val="24"/>
          <w:szCs w:val="24"/>
        </w:rPr>
        <w:t xml:space="preserve">5. Copy of October 14, 2025 Maintenance Request to Joshua Ochoa</w:t>
      </w:r>
    </w:p>
    <w:p>
      <w:pPr>
        <w:spacing w:after="60" w:before="0" w:line="276" w:lineRule="auto"/>
        <w:ind w:left="720"/>
        <w:jc w:val="left"/>
      </w:pPr>
      <w:r>
        <w:rPr>
          <w:rFonts w:ascii="Times New Roman" w:cs="Times New Roman" w:eastAsia="Times New Roman" w:hAnsi="Times New Roman"/>
          <w:b w:val="false"/>
          <w:bCs w:val="false"/>
          <w:i w:val="false"/>
          <w:iCs w:val="false"/>
          <w:sz w:val="24"/>
          <w:szCs w:val="24"/>
        </w:rPr>
        <w:t xml:space="preserve">6. Civil Code § 5200 Document Inspection and Evidence Preservation Demand (served simultaneously)</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cs="Times New Roman" w:eastAsia="Times New Roman" w:hAnsi="Times New Roman"/>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2026-03-22T21:27:53.291Z</dcterms:created>
  <dcterms:modified xsi:type="dcterms:W3CDTF">2026-03-22T21:27:53.292Z</dcterms:modified>
</cp:coreProperties>
</file>

<file path=docProps/custom.xml><?xml version="1.0" encoding="utf-8"?>
<Properties xmlns="http://schemas.openxmlformats.org/officeDocument/2006/custom-properties" xmlns:vt="http://schemas.openxmlformats.org/officeDocument/2006/docPropsVTypes"/>
</file>