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276" w:lineRule="auto"/>
        <w:jc w:val="center"/>
        <w:keepNext/>
      </w:pPr>
      <w:r>
        <w:rPr>
          <w:rFonts w:ascii="Times New Roman" w:cs="Times New Roman" w:eastAsia="Times New Roman" w:hAnsi="Times New Roman"/>
          <w:b/>
          <w:bCs/>
          <w:i w:val="false"/>
          <w:iCs w:val="false"/>
          <w:sz w:val="32"/>
          <w:szCs w:val="32"/>
        </w:rPr>
        <w:t xml:space="preserve">DEMAND FOR INSPECTION AND COPYING OF ASSOCIATION RECORDS</w:t>
      </w:r>
    </w:p>
    <w:p>
      <w:pPr>
        <w:spacing w:after="60" w:before="0" w:line="276" w:lineRule="auto"/>
        <w:jc w:val="center"/>
      </w:pPr>
      <w:r>
        <w:rPr>
          <w:rFonts w:ascii="Times New Roman" w:cs="Times New Roman" w:eastAsia="Times New Roman" w:hAnsi="Times New Roman"/>
          <w:b w:val="false"/>
          <w:bCs w:val="false"/>
          <w:i/>
          <w:iCs/>
          <w:sz w:val="20"/>
          <w:szCs w:val="20"/>
        </w:rPr>
        <w:t xml:space="preserve">Pursuant to California Civil Code Sections 5200-5240</w:t>
      </w:r>
    </w:p>
    <w:p>
      <w:pPr>
        <w:spacing w:after="60" w:before="0" w:line="276" w:lineRule="auto"/>
        <w:jc w:val="center"/>
      </w:pPr>
      <w:r>
        <w:rPr>
          <w:rFonts w:ascii="Times New Roman" w:cs="Times New Roman" w:eastAsia="Times New Roman" w:hAnsi="Times New Roman"/>
          <w:b w:val="false"/>
          <w:bCs w:val="false"/>
          <w:i/>
          <w:iCs/>
          <w:sz w:val="20"/>
          <w:szCs w:val="20"/>
        </w:rPr>
        <w:t xml:space="preserve">Davis-Stirling Common Interest Development Act</w:t>
      </w:r>
    </w:p>
    <w:p>
      <w:pPr>
        <w:spacing w:after="400" w:before="0" w:line="276" w:lineRule="auto"/>
        <w:jc w:val="center"/>
        <w:keepNext/>
      </w:pPr>
      <w:r>
        <w:rPr>
          <w:rFonts w:ascii="Times New Roman" w:cs="Times New Roman" w:eastAsia="Times New Roman" w:hAnsi="Times New Roman"/>
          <w:b/>
          <w:bCs/>
          <w:i w:val="false"/>
          <w:iCs w:val="false"/>
          <w:sz w:val="20"/>
          <w:szCs w:val="20"/>
        </w:rPr>
        <w:t xml:space="preserve">WITH EVIDENCE PRESERVATION DEMAND</w:t>
      </w:r>
    </w:p>
    <w:p>
      <w:pPr>
        <w:spacing w:after="200" w:before="0" w:line="276" w:lineRule="auto"/>
        <w:jc w:val="left"/>
        <w:keepNext/>
      </w:pPr>
      <w:r>
        <w:rPr>
          <w:rFonts w:ascii="Times New Roman" w:cs="Times New Roman" w:eastAsia="Times New Roman" w:hAnsi="Times New Roman"/>
          <w:b/>
          <w:bCs/>
          <w:sz w:val="24"/>
          <w:szCs w:val="24"/>
        </w:rPr>
        <w:t xml:space="preserve">Date: </w:t>
      </w:r>
      <w:r>
        <w:rPr>
          <w:rFonts w:ascii="Times New Roman" w:cs="Times New Roman" w:eastAsia="Times New Roman" w:hAnsi="Times New Roman"/>
          <w:sz w:val="24"/>
          <w:szCs w:val="24"/>
        </w:rPr>
        <w:t xml:space="preserve">March __, 2026</w:t>
      </w:r>
    </w:p>
    <w:p>
      <w:pPr>
        <w:spacing w:after="60" w:before="0" w:line="276" w:lineRule="auto"/>
        <w:jc w:val="left"/>
        <w:keepNext/>
      </w:pPr>
      <w:r>
        <w:rPr>
          <w:rFonts w:ascii="Times New Roman" w:cs="Times New Roman" w:eastAsia="Times New Roman" w:hAnsi="Times New Roman"/>
          <w:b/>
          <w:bCs/>
          <w:sz w:val="24"/>
          <w:szCs w:val="24"/>
        </w:rPr>
        <w:t xml:space="preserve">Via: </w:t>
      </w:r>
      <w:r>
        <w:rPr>
          <w:rFonts w:ascii="Times New Roman" w:cs="Times New Roman" w:eastAsia="Times New Roman" w:hAnsi="Times New Roman"/>
          <w:sz w:val="24"/>
          <w:szCs w:val="24"/>
        </w:rPr>
        <w:t xml:space="preserve">Certified Mail, Return Receipt Requested</w:t>
      </w:r>
    </w:p>
    <w:p>
      <w:pPr>
        <w:spacing w:after="400" w:before="0" w:line="276" w:lineRule="auto"/>
        <w:ind w:left="540"/>
        <w:jc w:val="left"/>
      </w:pPr>
      <w:r>
        <w:rPr>
          <w:rFonts w:ascii="Times New Roman" w:cs="Times New Roman" w:eastAsia="Times New Roman" w:hAnsi="Times New Roman"/>
          <w:b w:val="false"/>
          <w:bCs w:val="false"/>
          <w:i w:val="false"/>
          <w:iCs w:val="false"/>
          <w:sz w:val="24"/>
          <w:szCs w:val="24"/>
        </w:rPr>
        <w:t xml:space="preserve">AND Email to josh@cahoasolutions.com</w:t>
      </w:r>
    </w:p>
    <w:p>
      <w:pPr>
        <w:spacing w:after="60" w:before="0" w:line="276" w:lineRule="auto"/>
        <w:jc w:val="left"/>
        <w:keepNext/>
      </w:pPr>
      <w:r>
        <w:rPr>
          <w:rFonts w:ascii="Times New Roman" w:cs="Times New Roman" w:eastAsia="Times New Roman" w:hAnsi="Times New Roman"/>
          <w:b/>
          <w:bCs/>
          <w:sz w:val="24"/>
          <w:szCs w:val="24"/>
        </w:rPr>
        <w:t xml:space="preserve">TO:</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Uniappartment Homeowners Association</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c/o California HOA Solutions LLC</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Attention: Joshua Ochoa, General Manager</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5850 Canoga Avenue, Suite 400</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Los Angeles, California 91367</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Email: josh@cahoasolutions.com</w:t>
      </w:r>
    </w:p>
    <w:p>
      <w:pPr>
        <w:spacing w:after="400" w:before="0" w:line="276" w:lineRule="auto"/>
        <w:ind w:left="720"/>
        <w:jc w:val="left"/>
      </w:pPr>
      <w:r>
        <w:rPr>
          <w:rFonts w:ascii="Times New Roman" w:cs="Times New Roman" w:eastAsia="Times New Roman" w:hAnsi="Times New Roman"/>
          <w:b w:val="false"/>
          <w:bCs w:val="false"/>
          <w:i w:val="false"/>
          <w:iCs w:val="false"/>
          <w:sz w:val="24"/>
          <w:szCs w:val="24"/>
        </w:rPr>
        <w:t xml:space="preserve">Phone: (818) 927-1001</w:t>
      </w:r>
    </w:p>
    <w:p>
      <w:pPr>
        <w:spacing w:after="60" w:before="0" w:line="276" w:lineRule="auto"/>
        <w:jc w:val="left"/>
        <w:keepNext/>
      </w:pPr>
      <w:r>
        <w:rPr>
          <w:rFonts w:ascii="Times New Roman" w:cs="Times New Roman" w:eastAsia="Times New Roman" w:hAnsi="Times New Roman"/>
          <w:b/>
          <w:bCs/>
          <w:sz w:val="24"/>
          <w:szCs w:val="24"/>
        </w:rPr>
        <w:t xml:space="preserve">FROM:</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Jose Segura, Owner of Record, Unit 208</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15516 Nordhoff Street, #208</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North Hills, California 91343</w:t>
      </w:r>
    </w:p>
    <w:p>
      <w:pPr>
        <w:spacing w:after="400" w:before="0" w:line="276" w:lineRule="auto"/>
        <w:ind w:left="720"/>
        <w:jc w:val="left"/>
      </w:pPr>
      <w:r>
        <w:rPr>
          <w:rFonts w:ascii="Times New Roman" w:cs="Times New Roman" w:eastAsia="Times New Roman" w:hAnsi="Times New Roman"/>
          <w:b w:val="false"/>
          <w:bCs w:val="false"/>
          <w:i w:val="false"/>
          <w:iCs w:val="false"/>
          <w:sz w:val="24"/>
          <w:szCs w:val="24"/>
        </w:rPr>
        <w:t xml:space="preserve">Mailing Address: 1101 W. McArthur Blvd #258, Santa Ana, CA 92707</w:t>
      </w:r>
    </w:p>
    <w:p>
      <w:pPr>
        <w:spacing w:after="400" w:before="0" w:line="276" w:lineRule="auto"/>
        <w:jc w:val="both"/>
        <w:keepNext/>
      </w:pPr>
      <w:r>
        <w:rPr>
          <w:rFonts w:ascii="Times New Roman" w:cs="Times New Roman" w:eastAsia="Times New Roman" w:hAnsi="Times New Roman"/>
          <w:b/>
          <w:bCs/>
          <w:sz w:val="24"/>
          <w:szCs w:val="24"/>
        </w:rPr>
        <w:t xml:space="preserve">RE: </w:t>
      </w:r>
      <w:r>
        <w:rPr>
          <w:rFonts w:ascii="Times New Roman" w:cs="Times New Roman" w:eastAsia="Times New Roman" w:hAnsi="Times New Roman"/>
          <w:sz w:val="24"/>
          <w:szCs w:val="24"/>
        </w:rPr>
        <w:t xml:space="preserve">Formal Demand for Inspection and Copying of Association Records Pursuant to California Civil Code §§ 5200-5240; Evidence Preservation Demand</w:t>
      </w:r>
    </w:p>
    <w:p>
      <w:pPr>
        <w:pBdr>
          <w:bottom w:val="single" w:color="000000" w:sz="6" w:space="1"/>
        </w:pBdr>
        <w:spacing w:after="300" w:line="276" w:lineRule="auto"/>
      </w:pP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Dear Board of Directors and Property Manager:</w:t>
      </w:r>
    </w:p>
    <w:p>
      <w:pPr>
        <w:spacing w:after="200" w:before="0" w:line="276" w:lineRule="auto"/>
        <w:jc w:val="both"/>
      </w:pPr>
      <w:r>
        <w:rPr>
          <w:rFonts w:ascii="Times New Roman" w:cs="Times New Roman" w:eastAsia="Times New Roman" w:hAnsi="Times New Roman"/>
          <w:sz w:val="24"/>
          <w:szCs w:val="24"/>
        </w:rPr>
        <w:t xml:space="preserve">I am Jose Segura, the owner of record of Unit 208 at 15516 Nordhoff Street, North Hills, California 91343, within the Uniappartment Homeowners Association (the “Association”), Lot 1 of Tract 38490, City of Los Angeles, County of Los Angeles, State of California. I am a member in good standing of the Association, current on all assessments, and entitled to all rights afforded to members under the Declaration of Covenants, Conditions and Restrictions (“CC&amp;Rs”) executed in 2016, the Davis-Stirling Common Interest Development Act (California Civil Code §§ 4000-6150), and all other applicable law. Documentation of my ownership is available upon request.</w:t>
      </w:r>
    </w:p>
    <w:p>
      <w:pPr>
        <w:spacing w:after="200" w:before="0" w:line="276" w:lineRule="auto"/>
        <w:jc w:val="both"/>
      </w:pPr>
      <w:r>
        <w:rPr>
          <w:rFonts w:ascii="Times New Roman" w:cs="Times New Roman" w:eastAsia="Times New Roman" w:hAnsi="Times New Roman"/>
          <w:sz w:val="24"/>
          <w:szCs w:val="24"/>
        </w:rPr>
        <w:t xml:space="preserve">Pursuant to California Civil Code Section 5200, I hereby formally demand inspection and copying of the Association records identified below. This demand is made in connection with the ongoing roof leak affecting Unit 208 and at least eight (8) other units in the building, the confirmed mold contamination in my unit (documented by professional air quality testing conducted on April 27, 2025 by LA Testing, AIHA-EMLAP Accredited Lab #102814, EMSL Order #322508477, showing Aspergillus/Penicillium spore counts of 790 count/m³ indoors versus 260 count/m³ outdoors — approximately three times the outdoor baseline level), and the Association’s failure to exercise its mandatory maintenance obligations under Civil Code Section 4775 and Article III, Section 6(A) of the CC&amp;Rs.</w:t>
      </w:r>
    </w:p>
    <w:p>
      <w:pPr>
        <w:spacing w:after="200" w:before="0" w:line="276" w:lineRule="auto"/>
        <w:jc w:val="both"/>
      </w:pPr>
      <w:r>
        <w:rPr>
          <w:rFonts w:ascii="Times New Roman" w:cs="Times New Roman" w:eastAsia="Times New Roman" w:hAnsi="Times New Roman"/>
          <w:sz w:val="24"/>
          <w:szCs w:val="24"/>
        </w:rPr>
        <w:t xml:space="preserve">This demand is served simultaneously with a separate Demand Letter and Notice of Legal Claims regarding the Association’s failure to maintain the roof and the resulting mold contamination of my unit.</w:t>
      </w:r>
    </w:p>
    <w:p>
      <w:pPr>
        <w:spacing w:before="400" w:after="240" w:line="276" w:lineRule="auto"/>
        <w:jc w:val="left"/>
        <w:keepNext/>
      </w:pPr>
      <w:r>
        <w:rPr>
          <w:rFonts w:ascii="Times New Roman" w:cs="Times New Roman" w:eastAsia="Times New Roman" w:hAnsi="Times New Roman"/>
          <w:b/>
          <w:bCs/>
          <w:sz w:val="28"/>
          <w:szCs w:val="28"/>
          <w:u w:val="single"/>
        </w:rPr>
        <w:t xml:space="preserve">I. STATUTORY BASIS FOR THIS DEMAND</w:t>
      </w:r>
    </w:p>
    <w:p>
      <w:pPr>
        <w:spacing w:after="200" w:before="0" w:line="276" w:lineRule="auto"/>
        <w:jc w:val="both"/>
      </w:pPr>
      <w:r>
        <w:rPr>
          <w:rFonts w:ascii="Times New Roman" w:cs="Times New Roman" w:eastAsia="Times New Roman" w:hAnsi="Times New Roman"/>
          <w:sz w:val="24"/>
          <w:szCs w:val="24"/>
        </w:rPr>
        <w:t xml:space="preserve">Civil Code Section 5200(a) provides that the Association shall make available to members for inspection and copying </w:t>
      </w:r>
      <w:r>
        <w:rPr>
          <w:rFonts w:ascii="Times New Roman" w:cs="Times New Roman" w:eastAsia="Times New Roman" w:hAnsi="Times New Roman"/>
          <w:i/>
          <w:iCs/>
          <w:sz w:val="24"/>
          <w:szCs w:val="24"/>
        </w:rPr>
        <w:t xml:space="preserve">all</w:t>
      </w:r>
      <w:r>
        <w:rPr>
          <w:rFonts w:ascii="Times New Roman" w:cs="Times New Roman" w:eastAsia="Times New Roman" w:hAnsi="Times New Roman"/>
          <w:sz w:val="24"/>
          <w:szCs w:val="24"/>
        </w:rPr>
        <w:t xml:space="preserve"> association records. The term “association records” is defined broadly under Section 5200(a) to include any records “regardless of the form in which those records are maintained.”</w:t>
      </w:r>
    </w:p>
    <w:p>
      <w:pPr>
        <w:spacing w:after="200" w:before="0" w:line="276" w:lineRule="auto"/>
        <w:jc w:val="both"/>
        <w:keepNext/>
      </w:pPr>
      <w:r>
        <w:rPr>
          <w:rFonts w:ascii="Times New Roman" w:cs="Times New Roman" w:eastAsia="Times New Roman" w:hAnsi="Times New Roman"/>
          <w:sz w:val="24"/>
          <w:szCs w:val="24"/>
        </w:rPr>
        <w:t xml:space="preserve">Section 5205 establishes the timeline for production. Records maintained at the Association’s principal office or at a location within the common interest development are subject to inspection within </w:t>
      </w:r>
      <w:r>
        <w:rPr>
          <w:rFonts w:ascii="Times New Roman" w:cs="Times New Roman" w:eastAsia="Times New Roman" w:hAnsi="Times New Roman"/>
          <w:b/>
          <w:bCs/>
          <w:sz w:val="24"/>
          <w:szCs w:val="24"/>
        </w:rPr>
        <w:t xml:space="preserve">five (5) business days</w:t>
      </w:r>
      <w:r>
        <w:rPr>
          <w:rFonts w:ascii="Times New Roman" w:cs="Times New Roman" w:eastAsia="Times New Roman" w:hAnsi="Times New Roman"/>
          <w:sz w:val="24"/>
          <w:szCs w:val="24"/>
        </w:rPr>
        <w:t xml:space="preserve"> of a written request (Section 5205(b)). Records not maintained onsite must be made available within </w:t>
      </w:r>
      <w:r>
        <w:rPr>
          <w:rFonts w:ascii="Times New Roman" w:cs="Times New Roman" w:eastAsia="Times New Roman" w:hAnsi="Times New Roman"/>
          <w:b/>
          <w:bCs/>
          <w:sz w:val="24"/>
          <w:szCs w:val="24"/>
        </w:rPr>
        <w:t xml:space="preserve">ten (10) business days</w:t>
      </w:r>
      <w:r>
        <w:rPr>
          <w:rFonts w:ascii="Times New Roman" w:cs="Times New Roman" w:eastAsia="Times New Roman" w:hAnsi="Times New Roman"/>
          <w:sz w:val="24"/>
          <w:szCs w:val="24"/>
        </w:rPr>
        <w:t xml:space="preserve"> of a written request (Section 5205(a)). I request that all records maintained onsite be made available within the five-day statutory period, and all other records within ten business days.</w:t>
      </w:r>
    </w:p>
    <w:p>
      <w:pPr>
        <w:spacing w:after="200" w:before="0" w:line="276" w:lineRule="auto"/>
        <w:jc w:val="both"/>
        <w:keepNext/>
      </w:pPr>
      <w:r>
        <w:rPr>
          <w:rFonts w:ascii="Times New Roman" w:cs="Times New Roman" w:eastAsia="Times New Roman" w:hAnsi="Times New Roman"/>
          <w:sz w:val="24"/>
          <w:szCs w:val="24"/>
        </w:rPr>
        <w:t xml:space="preserve">Section 5205(g) provides that the Association may charge a fee for copying that does not exceed the Association’s actual cost per page, or ten cents ($0.10) per page, whichever is less. Section 5235(a) authorizes a member to bring an action in small claims court to enforce the right to inspect and copy records, and permits the court to award a penalty of </w:t>
      </w:r>
      <w:r>
        <w:rPr>
          <w:rFonts w:ascii="Times New Roman" w:cs="Times New Roman" w:eastAsia="Times New Roman" w:hAnsi="Times New Roman"/>
          <w:b/>
          <w:bCs/>
          <w:sz w:val="24"/>
          <w:szCs w:val="24"/>
        </w:rPr>
        <w:t xml:space="preserve">up to $500 for each separate written request</w:t>
      </w:r>
      <w:r>
        <w:rPr>
          <w:rFonts w:ascii="Times New Roman" w:cs="Times New Roman" w:eastAsia="Times New Roman" w:hAnsi="Times New Roman"/>
          <w:sz w:val="24"/>
          <w:szCs w:val="24"/>
        </w:rPr>
        <w:t xml:space="preserve"> that was improperly denied. In an action to enforce these rights in superior court, the prevailing party is entitled to reasonable attorney’s fees and costs under Civil Code Section 5975(c).</w:t>
      </w:r>
    </w:p>
    <w:p>
      <w:pPr>
        <w:spacing w:after="200" w:before="0" w:line="276" w:lineRule="auto"/>
        <w:jc w:val="both"/>
        <w:keepNext/>
      </w:pPr>
      <w:r>
        <w:rPr>
          <w:rFonts w:ascii="Times New Roman" w:cs="Times New Roman" w:eastAsia="Times New Roman" w:hAnsi="Times New Roman"/>
          <w:sz w:val="24"/>
          <w:szCs w:val="24"/>
        </w:rPr>
        <w:t xml:space="preserve">Section 5210 enumerates specific categories of records that must be made available. Section 5215 identifies the limited categories that may be withheld, including executive session minutes other than the final decisions ratified in open session (Section 5215(a)(1)), individual member contact information for members who have opted out under Section 5220, and records subject to attorney-client privilege. </w:t>
      </w:r>
      <w:r>
        <w:rPr>
          <w:rFonts w:ascii="Times New Roman" w:cs="Times New Roman" w:eastAsia="Times New Roman" w:hAnsi="Times New Roman"/>
          <w:b/>
          <w:bCs/>
          <w:sz w:val="24"/>
          <w:szCs w:val="24"/>
        </w:rPr>
        <w:t xml:space="preserve">Any record not specifically exempted under Section 5215 must be produced upon demand.</w:t>
      </w:r>
    </w:p>
    <w:p>
      <w:pPr>
        <w:spacing w:before="400" w:after="240" w:line="276" w:lineRule="auto"/>
        <w:jc w:val="left"/>
        <w:keepNext/>
      </w:pPr>
      <w:r>
        <w:rPr>
          <w:rFonts w:ascii="Times New Roman" w:cs="Times New Roman" w:eastAsia="Times New Roman" w:hAnsi="Times New Roman"/>
          <w:b/>
          <w:bCs/>
          <w:sz w:val="28"/>
          <w:szCs w:val="28"/>
          <w:u w:val="single"/>
        </w:rPr>
        <w:t xml:space="preserve">II. RECORDS DEMANDED</w:t>
      </w:r>
    </w:p>
    <w:p>
      <w:pPr>
        <w:spacing w:after="200" w:before="0" w:line="276" w:lineRule="auto"/>
        <w:jc w:val="both"/>
        <w:keepNext/>
      </w:pPr>
      <w:r>
        <w:rPr>
          <w:rFonts w:ascii="Times New Roman" w:cs="Times New Roman" w:eastAsia="Times New Roman" w:hAnsi="Times New Roman"/>
          <w:b/>
          <w:bCs/>
          <w:sz w:val="24"/>
          <w:szCs w:val="24"/>
        </w:rPr>
        <w:t xml:space="preserve">I demand inspection and copying of the following Association records.</w:t>
      </w:r>
      <w:r>
        <w:rPr>
          <w:rFonts w:ascii="Times New Roman" w:cs="Times New Roman" w:eastAsia="Times New Roman" w:hAnsi="Times New Roman"/>
          <w:sz w:val="24"/>
          <w:szCs w:val="24"/>
        </w:rPr>
        <w:t xml:space="preserve"> Where a record exists in electronic format, I request production in that format (PDF or native file) in addition to any paper copies. Each lettered category below constitutes a separate written request for purposes of the $500 penalty provision under Section 5235(a).</w:t>
      </w:r>
    </w:p>
    <w:p>
      <w:pPr>
        <w:spacing w:before="300" w:after="180" w:line="276" w:lineRule="auto"/>
        <w:jc w:val="left"/>
        <w:keepNext/>
      </w:pPr>
      <w:r>
        <w:rPr>
          <w:rFonts w:ascii="Times New Roman" w:cs="Times New Roman" w:eastAsia="Times New Roman" w:hAnsi="Times New Roman"/>
          <w:b/>
          <w:bCs/>
          <w:i/>
          <w:iCs/>
          <w:sz w:val="24"/>
          <w:szCs w:val="24"/>
        </w:rPr>
        <w:t xml:space="preserve">A. Reserve Studies and Financial Records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(1) All reserve studies prepared for the Association within the past ten (10) years, including without limitation the most recent reserve study required by Civil Code Section 5550, identifying all major components (including the roof), their estimated remaining useful life, estimated replacement cost, and the reserve fund’s current balance and percent funded status, as required by Civil Code Section 5300(b)(4).</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(2) All annual budget reports distributed to members for the past five (5) fiscal years, including the reserve funding disclosure and assessment/reserve funding plan required by Civil Code Section 5300.</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(3) All financial statements, including pro forma operating statements, balance sheets, income and expense statements, and statements of changes in financial position for the past five (5) fiscal years, as required by Civil Code Section 5305.</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(4) All financial transaction records for the past three (3) years to the extent they constitute “association records” under Section 5200(a), including but not limited to check registers, general ledgers, and account statements reflecting reserve fund deposits and withdrawals.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(5) All records reflecting the current balance of the Association’s operating fund, reserve fund, and any other accounts maintained by or on behalf of the Association.</w:t>
      </w:r>
    </w:p>
    <w:p>
      <w:pPr>
        <w:spacing w:before="300" w:after="180" w:line="276" w:lineRule="auto"/>
        <w:jc w:val="left"/>
        <w:keepNext/>
      </w:pPr>
      <w:r>
        <w:rPr>
          <w:rFonts w:ascii="Times New Roman" w:cs="Times New Roman" w:eastAsia="Times New Roman" w:hAnsi="Times New Roman"/>
          <w:b/>
          <w:bCs/>
          <w:i/>
          <w:iCs/>
          <w:sz w:val="24"/>
          <w:szCs w:val="24"/>
        </w:rPr>
        <w:t xml:space="preserve">B. Board Meeting Minutes and Communications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(1) All approved minutes of regular and special meetings of the Board of Directors for the past three (3) years, as required by Civil Code Section 5210(a)(8). I do not request executive session minutes to the extent protected under Section 5215(a)(1); however, I do request all records of decisions made in executive session that were subsequently announced, ratified, or implemented in open session, as such records are not protected.</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(2) All approved minutes of membership meetings (both annual and special) for the past three (3) years, including without limitation the meeting at which the special assessment vote was conducted (the 20-9 vote against the special assessment for roof repair).</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(3) All written communications — including but not limited to letters, emails, text messages, and memoranda — between the Board of Directors (collectively or individually), any officer of the Association, and/or the property management company (California HOA Solutions LLC, including its agents, employees, and General Manager Joshua Ochoa) regarding any of the following topics, for the past three (3) years: the roof condition; water intrusion into any unit; mold or mold testing; the special assessment proposal; the failed special assessment vote; emergency assessment authority under Civil Code Section 5610; insurance claims; and common area maintenance.</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(4) All written communications received by the Board, any director, any officer, or the property management company from any unit owner or tenant regarding water intrusion, leaks, ceiling damage, or mold, for the past three (3) years. This specifically includes, but is not limited to, my maintenance request submitted to Joshua Ochoa on October 14, 2025, and any response thereto.</w:t>
      </w:r>
    </w:p>
    <w:p>
      <w:pPr>
        <w:spacing w:before="300" w:after="180" w:line="276" w:lineRule="auto"/>
        <w:jc w:val="left"/>
        <w:keepNext/>
      </w:pPr>
      <w:r>
        <w:rPr>
          <w:rFonts w:ascii="Times New Roman" w:cs="Times New Roman" w:eastAsia="Times New Roman" w:hAnsi="Times New Roman"/>
          <w:b/>
          <w:bCs/>
          <w:i/>
          <w:iCs/>
          <w:sz w:val="24"/>
          <w:szCs w:val="24"/>
        </w:rPr>
        <w:t xml:space="preserve">C. Maintenance, Inspection, and Repair Records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(1) All inspection reports, engineering reports, roofing assessments, contractor evaluations, condition surveys, or estimates related to the roof condition, structural integrity of the building envelope, water intrusion, or mold for the past ten (10) years.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(2) All maintenance logs, work orders, service requests, and repair records for the building’s roof, exterior envelope, gutters, drainage systems, flashing, and any other common area component related to water management, for the past ten (10) years.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(3) All bids, proposals, or estimates obtained by the Association for roof repair, roof replacement, waterproofing, or related work at any time.</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(4) All records of maintenance requests submitted by any unit owner or tenant regarding water intrusion, leaks, ceiling damage, mold, or moisture, for the past five (5) years, including the Association’s or management company’s response (if any) to each request.</w:t>
      </w:r>
    </w:p>
    <w:p>
      <w:pPr>
        <w:spacing w:before="300" w:after="180" w:line="276" w:lineRule="auto"/>
        <w:jc w:val="left"/>
        <w:keepNext/>
      </w:pPr>
      <w:r>
        <w:rPr>
          <w:rFonts w:ascii="Times New Roman" w:cs="Times New Roman" w:eastAsia="Times New Roman" w:hAnsi="Times New Roman"/>
          <w:b/>
          <w:bCs/>
          <w:i/>
          <w:iCs/>
          <w:sz w:val="24"/>
          <w:szCs w:val="24"/>
        </w:rPr>
        <w:t xml:space="preserve">D. Insurance Records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(1) The Association’s current master insurance policy, including the declarations page identifying the insurer, policy number, policy period, coverage limits, and deductibles; all endorsements; all exclusions; and the complete policy terms and conditions, as required by Civil Code Section 5300(b)(9).</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(2) All insurance claims filed by the Association in the past five (5) years, including but not limited to claims related to water damage, roof damage, wind damage, mold, or any peril affecting the building’s roof or interior units, together with all correspondence with the insurer, adjuster reports, claim determinations, and any denials or reservations of rights.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(3) The Association’s current Directors &amp; Officers (D&amp;O) liability insurance policy, including the declarations page, all endorsements, and all exclusions.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(4) Any and all loss runs, claims history reports, or premium increase notices from the Association’s insurer(s) for the past five (5) years.</w:t>
      </w:r>
    </w:p>
    <w:p>
      <w:pPr>
        <w:spacing w:before="300" w:after="180" w:line="276" w:lineRule="auto"/>
        <w:jc w:val="left"/>
        <w:keepNext/>
      </w:pPr>
      <w:r>
        <w:rPr>
          <w:rFonts w:ascii="Times New Roman" w:cs="Times New Roman" w:eastAsia="Times New Roman" w:hAnsi="Times New Roman"/>
          <w:b/>
          <w:bCs/>
          <w:i/>
          <w:iCs/>
          <w:sz w:val="24"/>
          <w:szCs w:val="24"/>
        </w:rPr>
        <w:t xml:space="preserve">E. Contracts and Vendor Agreements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(1) The complete management agreement between the Association and California HOA Solutions LLC, including all amendments, addenda, exhibits, and any scope-of-work documents, together with any predecessor management agreements if California HOA Solutions has been the manager for less than five (5) years.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(2) All contracts, agreements, proposals, or work authorizations entered into by the Association with roofing companies, general contractors, mold remediation companies, environmental testing companies, structural engineers, or building inspectors, at any time.</w:t>
      </w:r>
    </w:p>
    <w:p>
      <w:pPr>
        <w:spacing w:before="300" w:after="180" w:line="276" w:lineRule="auto"/>
        <w:jc w:val="left"/>
        <w:keepNext/>
      </w:pPr>
      <w:r>
        <w:rPr>
          <w:rFonts w:ascii="Times New Roman" w:cs="Times New Roman" w:eastAsia="Times New Roman" w:hAnsi="Times New Roman"/>
          <w:b/>
          <w:bCs/>
          <w:i/>
          <w:iCs/>
          <w:sz w:val="24"/>
          <w:szCs w:val="24"/>
        </w:rPr>
        <w:t xml:space="preserve">F. Governing Documents and Corporate Records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(1) The Association’s current Articles of Incorporation as filed with the California Secretary of State, including any amendments.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(2) The Association’s current Bylaws, including any amendments.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(3) The most recent Statement of Information (Form SI-100 or SI-550) filed with the California Secretary of State pursuant to Corporations Code Section 8210, identifying current officers, directors, and the designated agent for service of process.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(4) Written confirmation of whether the Association’s corporate status is currently active and in good standing with both the California Secretary of State and the California Franchise Tax Board. If the Association’s corporate status has been suspended at any time within the past five (5) years, I request all records documenting the suspension, the reason therefor, and the steps taken to cure it.</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(5) The Association’s current membership roster, including names, mailing addresses, and unit numbers of all members, to the extent not opted out under Civil Code Section 5220. The purpose of this request is to communicate with fellow members regarding the Association’s maintenance obligations for common areas, to inform affected owners of their legal rights, and to explore joint remedies as permitted by law. This purpose is consistent with Civil Code Section 5200(b)(2).</w:t>
      </w:r>
    </w:p>
    <w:p>
      <w:pPr>
        <w:spacing w:before="300" w:after="180" w:line="276" w:lineRule="auto"/>
        <w:jc w:val="left"/>
        <w:keepNext/>
      </w:pPr>
      <w:r>
        <w:rPr>
          <w:rFonts w:ascii="Times New Roman" w:cs="Times New Roman" w:eastAsia="Times New Roman" w:hAnsi="Times New Roman"/>
          <w:b/>
          <w:bCs/>
          <w:i/>
          <w:iCs/>
          <w:sz w:val="24"/>
          <w:szCs w:val="24"/>
        </w:rPr>
        <w:t xml:space="preserve">G. Voting Records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(1) All ballots, proxies, and related voting materials from the special assessment vote in which the membership voted 20 to 9 against the special assessment to repair the roof, including the notice of the vote, the ballot form used, the Inspector of Elections’ report, and any tabulation records, as required by Civil Code Sections 5120 and 5125.</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(2) All records of any other membership vote conducted within the past three (3) years related to assessments, maintenance, or capital improvements.</w:t>
      </w:r>
    </w:p>
    <w:p>
      <w:pPr>
        <w:spacing w:before="400" w:after="240" w:line="276" w:lineRule="auto"/>
        <w:jc w:val="left"/>
        <w:keepNext/>
      </w:pPr>
      <w:r>
        <w:rPr>
          <w:rFonts w:ascii="Times New Roman" w:cs="Times New Roman" w:eastAsia="Times New Roman" w:hAnsi="Times New Roman"/>
          <w:b/>
          <w:bCs/>
          <w:sz w:val="28"/>
          <w:szCs w:val="28"/>
          <w:u w:val="single"/>
        </w:rPr>
        <w:t xml:space="preserve">III. METHOD OF INSPECTION AND COPYING</w:t>
      </w:r>
    </w:p>
    <w:p>
      <w:pPr>
        <w:spacing w:after="200" w:before="0" w:line="276" w:lineRule="auto"/>
        <w:jc w:val="both"/>
      </w:pPr>
      <w:r>
        <w:rPr>
          <w:rFonts w:ascii="Times New Roman" w:cs="Times New Roman" w:eastAsia="Times New Roman" w:hAnsi="Times New Roman"/>
          <w:sz w:val="24"/>
          <w:szCs w:val="24"/>
        </w:rPr>
        <w:t xml:space="preserve">I request that the above records be made available for inspection at the offices of California HOA Solutions LLC (5850 Canoga Avenue, Suite 400, Los Angeles, CA 91367) during normal business hours, upon reasonable advance notice of my intended inspection date. I also request that complete copies of all identified records be provided to me in electronic format (PDF or native format) via email to segura.jose5@yahoo.com, and in paper format where electronic versions do not exist. I understand that the Association may charge its actual cost of copying pursuant to Civil Code Section 5205(g), not to exceed ten cents ($0.10) per page, and I am prepared to pay reasonable copying costs upon presentation of an itemized invoice.</w:t>
      </w:r>
    </w:p>
    <w:p>
      <w:pPr>
        <w:spacing w:before="400" w:after="240" w:line="276" w:lineRule="auto"/>
        <w:jc w:val="left"/>
        <w:keepNext/>
      </w:pPr>
      <w:r>
        <w:rPr>
          <w:rFonts w:ascii="Times New Roman" w:cs="Times New Roman" w:eastAsia="Times New Roman" w:hAnsi="Times New Roman"/>
          <w:b/>
          <w:bCs/>
          <w:sz w:val="28"/>
          <w:szCs w:val="28"/>
          <w:u w:val="single"/>
        </w:rPr>
        <w:t xml:space="preserve">IV. COMPLIANCE DEADLINE AND CONSEQUENCES OF NON-COMPLIANCE</w:t>
      </w:r>
    </w:p>
    <w:p>
      <w:pPr>
        <w:spacing w:after="200" w:before="0" w:line="276" w:lineRule="auto"/>
        <w:jc w:val="both"/>
        <w:keepNext/>
      </w:pPr>
      <w:r>
        <w:rPr>
          <w:rFonts w:ascii="Times New Roman" w:cs="Times New Roman" w:eastAsia="Times New Roman" w:hAnsi="Times New Roman"/>
          <w:b/>
          <w:bCs/>
          <w:sz w:val="24"/>
          <w:szCs w:val="24"/>
        </w:rPr>
        <w:t xml:space="preserve">Records maintained onsite must be made available within five (5) business days</w:t>
      </w:r>
      <w:r>
        <w:rPr>
          <w:rFonts w:ascii="Times New Roman" w:cs="Times New Roman" w:eastAsia="Times New Roman" w:hAnsi="Times New Roman"/>
          <w:sz w:val="24"/>
          <w:szCs w:val="24"/>
        </w:rPr>
        <w:t xml:space="preserve"> of receipt of this demand. </w:t>
      </w:r>
      <w:r>
        <w:rPr>
          <w:rFonts w:ascii="Times New Roman" w:cs="Times New Roman" w:eastAsia="Times New Roman" w:hAnsi="Times New Roman"/>
          <w:b/>
          <w:bCs/>
          <w:sz w:val="24"/>
          <w:szCs w:val="24"/>
        </w:rPr>
        <w:t xml:space="preserve">All other records must be made available within ten (10) business days</w:t>
      </w:r>
      <w:r>
        <w:rPr>
          <w:rFonts w:ascii="Times New Roman" w:cs="Times New Roman" w:eastAsia="Times New Roman" w:hAnsi="Times New Roman"/>
          <w:sz w:val="24"/>
          <w:szCs w:val="24"/>
        </w:rPr>
        <w:t xml:space="preserve"> of receipt of this demand. Civil Code Section 5205(a)-(b).</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Failure to comply within these statutory timeframes will constitute a violation of the Davis-Stirling Common Interest Development Act and may result in the following consequences:</w:t>
      </w:r>
    </w:p>
    <w:p>
      <w:pPr>
        <w:spacing w:after="200" w:before="0" w:line="276" w:lineRule="auto"/>
        <w:ind w:left="720"/>
        <w:jc w:val="both"/>
        <w:keepNext/>
      </w:pPr>
      <w:r>
        <w:rPr>
          <w:rFonts w:ascii="Times New Roman" w:cs="Times New Roman" w:eastAsia="Times New Roman" w:hAnsi="Times New Roman"/>
          <w:b/>
          <w:bCs/>
          <w:sz w:val="24"/>
          <w:szCs w:val="24"/>
        </w:rPr>
        <w:t xml:space="preserve">(a)</w:t>
      </w:r>
      <w:r>
        <w:rPr>
          <w:rFonts w:ascii="Times New Roman" w:cs="Times New Roman" w:eastAsia="Times New Roman" w:hAnsi="Times New Roman"/>
          <w:sz w:val="24"/>
          <w:szCs w:val="24"/>
        </w:rPr>
        <w:t xml:space="preserve"> An action under Civil Code Section 5235(a) to enforce the right to inspect and copy records, in which the court may award a penalty of up to </w:t>
      </w:r>
      <w:r>
        <w:rPr>
          <w:rFonts w:ascii="Times New Roman" w:cs="Times New Roman" w:eastAsia="Times New Roman" w:hAnsi="Times New Roman"/>
          <w:b/>
          <w:bCs/>
          <w:sz w:val="24"/>
          <w:szCs w:val="24"/>
        </w:rPr>
        <w:t xml:space="preserve">$500 for each separate written request</w:t>
      </w:r>
      <w:r>
        <w:rPr>
          <w:rFonts w:ascii="Times New Roman" w:cs="Times New Roman" w:eastAsia="Times New Roman" w:hAnsi="Times New Roman"/>
          <w:sz w:val="24"/>
          <w:szCs w:val="24"/>
        </w:rPr>
        <w:t xml:space="preserve"> that was improperly denied. This demand contains seven (7) separately identified categories of records (A through G), each constituting an independent request. Maximum statutory penalties: </w:t>
      </w:r>
      <w:r>
        <w:rPr>
          <w:rFonts w:ascii="Times New Roman" w:cs="Times New Roman" w:eastAsia="Times New Roman" w:hAnsi="Times New Roman"/>
          <w:b/>
          <w:bCs/>
          <w:sz w:val="24"/>
          <w:szCs w:val="24"/>
        </w:rPr>
        <w:t xml:space="preserve">$3,500.</w:t>
      </w:r>
    </w:p>
    <w:p>
      <w:pPr>
        <w:spacing w:after="200" w:before="0" w:line="276" w:lineRule="auto"/>
        <w:ind w:left="720"/>
        <w:jc w:val="both"/>
        <w:keepNext/>
      </w:pPr>
      <w:r>
        <w:rPr>
          <w:rFonts w:ascii="Times New Roman" w:cs="Times New Roman" w:eastAsia="Times New Roman" w:hAnsi="Times New Roman"/>
          <w:b/>
          <w:bCs/>
          <w:sz w:val="24"/>
          <w:szCs w:val="24"/>
        </w:rPr>
        <w:t xml:space="preserve">(b)</w:t>
      </w:r>
      <w:r>
        <w:rPr>
          <w:rFonts w:ascii="Times New Roman" w:cs="Times New Roman" w:eastAsia="Times New Roman" w:hAnsi="Times New Roman"/>
          <w:sz w:val="24"/>
          <w:szCs w:val="24"/>
        </w:rPr>
        <w:t xml:space="preserve"> An award of reasonable attorney’s fees and costs to the prevailing party under Civil Code Section 5975(c) in any action to enforce the Association’s governing documents or the Davis-Stirling Act.</w:t>
      </w:r>
    </w:p>
    <w:p>
      <w:pPr>
        <w:spacing w:after="200" w:before="0" w:line="276" w:lineRule="auto"/>
        <w:ind w:left="720"/>
        <w:jc w:val="both"/>
        <w:keepNext/>
      </w:pPr>
      <w:r>
        <w:rPr>
          <w:rFonts w:ascii="Times New Roman" w:cs="Times New Roman" w:eastAsia="Times New Roman" w:hAnsi="Times New Roman"/>
          <w:b/>
          <w:bCs/>
          <w:sz w:val="24"/>
          <w:szCs w:val="24"/>
        </w:rPr>
        <w:t xml:space="preserve">(c)</w:t>
      </w:r>
      <w:r>
        <w:rPr>
          <w:rFonts w:ascii="Times New Roman" w:cs="Times New Roman" w:eastAsia="Times New Roman" w:hAnsi="Times New Roman"/>
          <w:sz w:val="24"/>
          <w:szCs w:val="24"/>
        </w:rPr>
        <w:t xml:space="preserve"> Use of the Association’s refusal, delay, or incomplete production as evidence of bad faith, concealment, or consciousness of liability in any subsequent litigation arising from the Association’s failure to maintain the roof and remediate the resulting mold contamination.</w:t>
      </w:r>
    </w:p>
    <w:p>
      <w:pPr>
        <w:spacing w:after="200" w:before="0" w:line="276" w:lineRule="auto"/>
        <w:ind w:left="720"/>
        <w:jc w:val="both"/>
        <w:keepNext/>
      </w:pPr>
      <w:r>
        <w:rPr>
          <w:rFonts w:ascii="Times New Roman" w:cs="Times New Roman" w:eastAsia="Times New Roman" w:hAnsi="Times New Roman"/>
          <w:b/>
          <w:bCs/>
          <w:sz w:val="24"/>
          <w:szCs w:val="24"/>
        </w:rPr>
        <w:t xml:space="preserve">(d)</w:t>
      </w:r>
      <w:r>
        <w:rPr>
          <w:rFonts w:ascii="Times New Roman" w:cs="Times New Roman" w:eastAsia="Times New Roman" w:hAnsi="Times New Roman"/>
          <w:sz w:val="24"/>
          <w:szCs w:val="24"/>
        </w:rPr>
        <w:t xml:space="preserve"> Adverse inference in any subsequent proceeding that withheld or destroyed records would have been unfavorable to the Association.</w:t>
      </w:r>
    </w:p>
    <w:p>
      <w:pPr>
        <w:spacing w:before="400" w:after="240" w:line="276" w:lineRule="auto"/>
        <w:jc w:val="left"/>
        <w:keepNext/>
      </w:pPr>
      <w:r>
        <w:rPr>
          <w:rFonts w:ascii="Times New Roman" w:cs="Times New Roman" w:eastAsia="Times New Roman" w:hAnsi="Times New Roman"/>
          <w:b/>
          <w:bCs/>
          <w:sz w:val="28"/>
          <w:szCs w:val="28"/>
          <w:u w:val="single"/>
        </w:rPr>
        <w:t xml:space="preserve">V. EVIDENCE PRESERVATION DEMAND</w:t>
      </w:r>
    </w:p>
    <w:p>
      <w:pPr>
        <w:spacing w:after="200" w:before="0" w:line="276" w:lineRule="auto"/>
        <w:jc w:val="both"/>
        <w:keepNext/>
      </w:pPr>
      <w:r>
        <w:rPr>
          <w:rFonts w:ascii="Times New Roman" w:cs="Times New Roman" w:eastAsia="Times New Roman" w:hAnsi="Times New Roman"/>
          <w:b/>
          <w:bCs/>
          <w:sz w:val="24"/>
          <w:szCs w:val="24"/>
          <w:u w:val="single"/>
        </w:rPr>
        <w:t xml:space="preserve">THIS LETTER CONSTITUTES A FORMAL LITIGATION HOLD AND EVIDENCE PRESERVATION DEMAND.</w:t>
      </w:r>
    </w:p>
    <w:p>
      <w:pPr>
        <w:spacing w:after="200" w:before="0" w:line="276" w:lineRule="auto"/>
        <w:jc w:val="both"/>
        <w:keepNext/>
      </w:pPr>
      <w:r>
        <w:rPr>
          <w:rFonts w:ascii="Times New Roman" w:cs="Times New Roman" w:eastAsia="Times New Roman" w:hAnsi="Times New Roman"/>
          <w:sz w:val="24"/>
          <w:szCs w:val="24"/>
        </w:rPr>
        <w:t xml:space="preserve">The Association, its Board of Directors (collectively and individually), its officers, and its property management company (California HOA Solutions LLC, including its CEO Sabawoon Shewa, its General Manager Joshua Ochoa, and all agents and employees) are hereby directed to </w:t>
      </w:r>
      <w:r>
        <w:rPr>
          <w:rFonts w:ascii="Times New Roman" w:cs="Times New Roman" w:eastAsia="Times New Roman" w:hAnsi="Times New Roman"/>
          <w:b/>
          <w:bCs/>
          <w:sz w:val="24"/>
          <w:szCs w:val="24"/>
        </w:rPr>
        <w:t xml:space="preserve">immediately identify, locate, and preserve all records, documents, electronically stored information (“ESI”), photographs, videos, audio recordings, communications (including but not limited to emails, text messages, instant messages, voicemails, and social media posts or messages), handwritten notes, and any other tangible or intangible materials</w:t>
      </w:r>
      <w:r>
        <w:rPr>
          <w:rFonts w:ascii="Times New Roman" w:cs="Times New Roman" w:eastAsia="Times New Roman" w:hAnsi="Times New Roman"/>
          <w:sz w:val="24"/>
          <w:szCs w:val="24"/>
        </w:rPr>
        <w:t xml:space="preserve"> related in any way to the following subjects: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The condition of the roof at any time, including inspections, complaints, observations, or assessments;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Water intrusion into any unit in the building, including Unit 208 and all other affected units;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Mold or mold testing in any unit, including air quality testing and remediation proposals;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The special assessment proposal and the 20-9 membership vote;</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Emergency assessment authority under Civil Code Section 5610 and/or Senate Bill 900;</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Maintenance requests from any unit owner or tenant regarding water, leaks, ceiling damage, or mold;</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Insurance claims, coverage determinations, or communications with insurers regarding water damage, roof damage, or mold;</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Reserve fund balances, reserve study recommendations regarding the roof, and reserve expenditures;</w:t>
      </w:r>
    </w:p>
    <w:p>
      <w:pPr>
        <w:spacing w:after="200" w:before="0" w:line="276" w:lineRule="auto"/>
        <w:ind w:left="720"/>
        <w:jc w:val="both"/>
      </w:pPr>
      <w:r>
        <w:rPr>
          <w:rFonts w:ascii="Times New Roman" w:cs="Times New Roman" w:eastAsia="Times New Roman" w:hAnsi="Times New Roman"/>
          <w:b w:val="false"/>
          <w:bCs w:val="false"/>
          <w:i w:val="false"/>
          <w:iCs w:val="false"/>
          <w:sz w:val="24"/>
          <w:szCs w:val="24"/>
        </w:rPr>
        <w:t xml:space="preserve">Communications among Board members, between the Board and the property manager, between the Association and any contractor, engineer, insurer, or attorney, regarding any of the above subjects;</w:t>
      </w:r>
    </w:p>
    <w:p>
      <w:pPr>
        <w:spacing w:after="300" w:before="0" w:line="276" w:lineRule="auto"/>
        <w:ind w:left="720"/>
        <w:jc w:val="both"/>
      </w:pPr>
      <w:r>
        <w:rPr>
          <w:rFonts w:ascii="Times New Roman" w:cs="Times New Roman" w:eastAsia="Times New Roman" w:hAnsi="Times New Roman"/>
          <w:b w:val="false"/>
          <w:bCs w:val="false"/>
          <w:i w:val="false"/>
          <w:iCs w:val="false"/>
          <w:sz w:val="24"/>
          <w:szCs w:val="24"/>
        </w:rPr>
        <w:t xml:space="preserve">The management company’s internal records regarding the Association, including notes, logs, ticketing systems, and correspondence.</w:t>
      </w:r>
    </w:p>
    <w:p>
      <w:pPr>
        <w:spacing w:after="200" w:before="0" w:line="276" w:lineRule="auto"/>
        <w:jc w:val="both"/>
      </w:pPr>
      <w:r>
        <w:rPr>
          <w:rFonts w:ascii="Times New Roman" w:cs="Times New Roman" w:eastAsia="Times New Roman" w:hAnsi="Times New Roman"/>
          <w:sz w:val="24"/>
          <w:szCs w:val="24"/>
        </w:rPr>
        <w:t xml:space="preserve">This preservation obligation extends to all formats and all custodians, including personal email accounts and personal devices used for Association business. The duty to preserve attaches immediately upon receipt of this demand and continues until all claims are fully resolved.</w:t>
      </w:r>
    </w:p>
    <w:p>
      <w:pPr>
        <w:spacing w:after="200" w:before="0" w:line="276" w:lineRule="auto"/>
        <w:jc w:val="both"/>
        <w:keepNext/>
      </w:pPr>
      <w:r>
        <w:rPr>
          <w:rFonts w:ascii="Times New Roman" w:cs="Times New Roman" w:eastAsia="Times New Roman" w:hAnsi="Times New Roman"/>
          <w:b/>
          <w:bCs/>
          <w:sz w:val="24"/>
          <w:szCs w:val="24"/>
        </w:rPr>
        <w:t xml:space="preserve">Destruction, alteration, concealment, or failure to preserve any such records after receipt of this demand may constitute spoliation of evidence.</w:t>
      </w:r>
      <w:r>
        <w:rPr>
          <w:rFonts w:ascii="Times New Roman" w:cs="Times New Roman" w:eastAsia="Times New Roman" w:hAnsi="Times New Roman"/>
          <w:sz w:val="24"/>
          <w:szCs w:val="24"/>
        </w:rPr>
        <w:t xml:space="preserve"> Under California law, spoliation may result in adverse inference instructions at trial, evidentiary sanctions (including exclusion of the spoliating party’s evidence), monetary sanctions, issue sanctions, and independent tort liability. </w:t>
      </w:r>
      <w:r>
        <w:rPr>
          <w:rFonts w:ascii="Times New Roman" w:cs="Times New Roman" w:eastAsia="Times New Roman" w:hAnsi="Times New Roman"/>
          <w:i/>
          <w:iCs/>
          <w:sz w:val="24"/>
          <w:szCs w:val="24"/>
        </w:rPr>
        <w:t xml:space="preserve">See Cedars-Sinai Medical Center v. Superior Court</w:t>
      </w:r>
      <w:r>
        <w:rPr>
          <w:rFonts w:ascii="Times New Roman" w:cs="Times New Roman" w:eastAsia="Times New Roman" w:hAnsi="Times New Roman"/>
          <w:sz w:val="24"/>
          <w:szCs w:val="24"/>
        </w:rPr>
        <w:t xml:space="preserve"> (1998) 18 Cal.4th 1 (establishing the duty to preserve evidence when litigation is reasonably anticipated); </w:t>
      </w:r>
      <w:r>
        <w:rPr>
          <w:rFonts w:ascii="Times New Roman" w:cs="Times New Roman" w:eastAsia="Times New Roman" w:hAnsi="Times New Roman"/>
          <w:i/>
          <w:iCs/>
          <w:sz w:val="24"/>
          <w:szCs w:val="24"/>
        </w:rPr>
        <w:t xml:space="preserve">Williams v. Russ</w:t>
      </w:r>
      <w:r>
        <w:rPr>
          <w:rFonts w:ascii="Times New Roman" w:cs="Times New Roman" w:eastAsia="Times New Roman" w:hAnsi="Times New Roman"/>
          <w:sz w:val="24"/>
          <w:szCs w:val="24"/>
        </w:rPr>
        <w:t xml:space="preserve"> (2012) 210 Cal.App.4th 35 (recognizing independent tort liability for intentional spoliation); </w:t>
      </w:r>
      <w:r>
        <w:rPr>
          <w:rFonts w:ascii="Times New Roman" w:cs="Times New Roman" w:eastAsia="Times New Roman" w:hAnsi="Times New Roman"/>
          <w:i/>
          <w:iCs/>
          <w:sz w:val="24"/>
          <w:szCs w:val="24"/>
        </w:rPr>
        <w:t xml:space="preserve">New Albertsons, Inc. v. Superior Court</w:t>
      </w:r>
      <w:r>
        <w:rPr>
          <w:rFonts w:ascii="Times New Roman" w:cs="Times New Roman" w:eastAsia="Times New Roman" w:hAnsi="Times New Roman"/>
          <w:sz w:val="24"/>
          <w:szCs w:val="24"/>
        </w:rPr>
        <w:t xml:space="preserve"> (2008) 168 Cal.App.4th 1403 (court may instruct jury to presume destroyed evidence was unfavorable to the spoliating party).</w:t>
      </w:r>
    </w:p>
    <w:p>
      <w:pPr>
        <w:spacing w:after="400" w:before="0" w:line="276" w:lineRule="auto"/>
        <w:jc w:val="both"/>
        <w:keepNext/>
      </w:pPr>
      <w:r>
        <w:rPr>
          <w:rFonts w:ascii="Times New Roman" w:cs="Times New Roman" w:eastAsia="Times New Roman" w:hAnsi="Times New Roman"/>
          <w:b/>
          <w:bCs/>
          <w:sz w:val="24"/>
          <w:szCs w:val="24"/>
        </w:rPr>
        <w:t xml:space="preserve">The Association and its property management company are specifically directed to suspend any automatic deletion policies</w:t>
      </w:r>
      <w:r>
        <w:rPr>
          <w:rFonts w:ascii="Times New Roman" w:cs="Times New Roman" w:eastAsia="Times New Roman" w:hAnsi="Times New Roman"/>
          <w:sz w:val="24"/>
          <w:szCs w:val="24"/>
        </w:rPr>
        <w:t xml:space="preserve"> for emails, text messages, voicemails, or other electronically stored information that may apply to any custodian holding relevant records. Failure to suspend auto-deletion constitutes willful spoliation.</w:t>
      </w:r>
    </w:p>
    <w:p>
      <w:pPr>
        <w:pBdr>
          <w:bottom w:val="single" w:color="000000" w:sz="6" w:space="1"/>
        </w:pBdr>
        <w:spacing w:after="300" w:line="276" w:lineRule="auto"/>
      </w:pPr>
    </w:p>
    <w:p>
      <w:pPr>
        <w:spacing w:after="600" w:before="0" w:line="276" w:lineRule="auto"/>
        <w:jc w:val="left"/>
      </w:pPr>
      <w:r>
        <w:rPr>
          <w:rFonts w:ascii="Times New Roman" w:cs="Times New Roman" w:eastAsia="Times New Roman" w:hAnsi="Times New Roman"/>
          <w:b w:val="false"/>
          <w:bCs w:val="false"/>
          <w:i w:val="false"/>
          <w:iCs w:val="false"/>
          <w:sz w:val="24"/>
          <w:szCs w:val="24"/>
        </w:rPr>
        <w:t xml:space="preserve">Respectfully submitted,</w:t>
      </w:r>
    </w:p>
    <w:p>
      <w:pPr>
        <w:spacing w:after="60" w:before="0" w:line="276" w:lineRule="auto"/>
        <w:jc w:val="left"/>
      </w:pPr>
      <w:r>
        <w:rPr>
          <w:rFonts w:ascii="Times New Roman" w:cs="Times New Roman" w:eastAsia="Times New Roman" w:hAnsi="Times New Roman"/>
          <w:b w:val="false"/>
          <w:bCs w:val="false"/>
          <w:i w:val="false"/>
          <w:iCs w:val="false"/>
          <w:sz w:val="24"/>
          <w:szCs w:val="24"/>
        </w:rPr>
        <w:t xml:space="preserve">_________________________________________</w:t>
      </w:r>
    </w:p>
    <w:p>
      <w:pPr>
        <w:spacing w:after="60" w:before="0" w:line="276" w:lineRule="auto"/>
        <w:jc w:val="left"/>
        <w:keepNext/>
      </w:pPr>
      <w:r>
        <w:rPr>
          <w:rFonts w:ascii="Times New Roman" w:cs="Times New Roman" w:eastAsia="Times New Roman" w:hAnsi="Times New Roman"/>
          <w:b/>
          <w:bCs/>
          <w:i w:val="false"/>
          <w:iCs w:val="false"/>
          <w:sz w:val="24"/>
          <w:szCs w:val="24"/>
        </w:rPr>
        <w:t xml:space="preserve">Jose Segura</w:t>
      </w:r>
    </w:p>
    <w:p>
      <w:pPr>
        <w:spacing w:after="60" w:before="0" w:line="276" w:lineRule="auto"/>
        <w:jc w:val="left"/>
      </w:pPr>
      <w:r>
        <w:rPr>
          <w:rFonts w:ascii="Times New Roman" w:cs="Times New Roman" w:eastAsia="Times New Roman" w:hAnsi="Times New Roman"/>
          <w:b w:val="false"/>
          <w:bCs w:val="false"/>
          <w:i w:val="false"/>
          <w:iCs w:val="false"/>
          <w:sz w:val="24"/>
          <w:szCs w:val="24"/>
        </w:rPr>
        <w:t xml:space="preserve">Owner of Record, Unit 208</w:t>
      </w:r>
    </w:p>
    <w:p>
      <w:pPr>
        <w:spacing w:after="60" w:before="0" w:line="276" w:lineRule="auto"/>
        <w:jc w:val="left"/>
      </w:pPr>
      <w:r>
        <w:rPr>
          <w:rFonts w:ascii="Times New Roman" w:cs="Times New Roman" w:eastAsia="Times New Roman" w:hAnsi="Times New Roman"/>
          <w:b w:val="false"/>
          <w:bCs w:val="false"/>
          <w:i w:val="false"/>
          <w:iCs w:val="false"/>
          <w:sz w:val="24"/>
          <w:szCs w:val="24"/>
        </w:rPr>
        <w:t xml:space="preserve">15516 Nordhoff Street, #208</w:t>
      </w:r>
    </w:p>
    <w:p>
      <w:pPr>
        <w:spacing w:after="60" w:before="0" w:line="276" w:lineRule="auto"/>
        <w:jc w:val="left"/>
      </w:pPr>
      <w:r>
        <w:rPr>
          <w:rFonts w:ascii="Times New Roman" w:cs="Times New Roman" w:eastAsia="Times New Roman" w:hAnsi="Times New Roman"/>
          <w:b w:val="false"/>
          <w:bCs w:val="false"/>
          <w:i w:val="false"/>
          <w:iCs w:val="false"/>
          <w:sz w:val="24"/>
          <w:szCs w:val="24"/>
        </w:rPr>
        <w:t xml:space="preserve">North Hills, California 91343</w:t>
      </w:r>
    </w:p>
    <w:p>
      <w:pPr>
        <w:spacing w:after="300" w:before="0" w:line="276" w:lineRule="auto"/>
        <w:jc w:val="left"/>
      </w:pPr>
      <w:r>
        <w:rPr>
          <w:rFonts w:ascii="Times New Roman" w:cs="Times New Roman" w:eastAsia="Times New Roman" w:hAnsi="Times New Roman"/>
          <w:b w:val="false"/>
          <w:bCs w:val="false"/>
          <w:i w:val="false"/>
          <w:iCs w:val="false"/>
          <w:sz w:val="24"/>
          <w:szCs w:val="24"/>
        </w:rPr>
        <w:t xml:space="preserve">Email: segura.jose5@yahoo.com</w:t>
      </w:r>
    </w:p>
    <w:p>
      <w:pPr>
        <w:spacing w:after="100" w:before="0" w:line="276" w:lineRule="auto"/>
        <w:jc w:val="left"/>
        <w:keepNext/>
      </w:pPr>
      <w:r>
        <w:rPr>
          <w:rFonts w:ascii="Times New Roman" w:cs="Times New Roman" w:eastAsia="Times New Roman" w:hAnsi="Times New Roman"/>
          <w:b/>
          <w:bCs/>
          <w:sz w:val="24"/>
          <w:szCs w:val="24"/>
        </w:rPr>
        <w:t xml:space="preserve">cc (via Certified Mail and Email):</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Uniappartment HOA Board of Directors (via certified mail to Association’s principal address)</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California HOA Solutions LLC, Attention: Sabawoon Shewa, CEO</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Joshua Ochoa, General Manager, California HOA Solutions LLC</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File</w:t>
      </w:r>
    </w:p>
    <w:p>
      <w:pPr>
        <w:spacing w:after="100" w:before="0" w:line="276" w:lineRule="auto"/>
        <w:jc w:val="left"/>
        <w:keepNext/>
      </w:pPr>
      <w:r>
        <w:rPr>
          <w:rFonts w:ascii="Times New Roman" w:cs="Times New Roman" w:eastAsia="Times New Roman" w:hAnsi="Times New Roman"/>
          <w:b/>
          <w:bCs/>
          <w:sz w:val="24"/>
          <w:szCs w:val="24"/>
        </w:rPr>
        <w:t xml:space="preserve">Enclosure:</w:t>
      </w:r>
    </w:p>
    <w:p>
      <w:pPr>
        <w:spacing w:after="60" w:before="0" w:line="276" w:lineRule="auto"/>
        <w:ind w:left="720"/>
        <w:jc w:val="left"/>
      </w:pPr>
      <w:r>
        <w:rPr>
          <w:rFonts w:ascii="Times New Roman" w:cs="Times New Roman" w:eastAsia="Times New Roman" w:hAnsi="Times New Roman"/>
          <w:b w:val="false"/>
          <w:bCs w:val="false"/>
          <w:i w:val="false"/>
          <w:iCs w:val="false"/>
          <w:sz w:val="24"/>
          <w:szCs w:val="24"/>
        </w:rPr>
        <w:t xml:space="preserve">Demand Letter and Notice of Legal Claims with Settlement Opportunity (served simultaneously)</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2026-03-22T21:22:22.231Z</dcterms:created>
  <dcterms:modified xsi:type="dcterms:W3CDTF">2026-03-22T21:22:22.232Z</dcterms:modified>
</cp:coreProperties>
</file>

<file path=docProps/custom.xml><?xml version="1.0" encoding="utf-8"?>
<Properties xmlns="http://schemas.openxmlformats.org/officeDocument/2006/custom-properties" xmlns:vt="http://schemas.openxmlformats.org/officeDocument/2006/docPropsVTypes"/>
</file>