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0" w:line="480" w:lineRule="auto"/>
        <w:jc w:val="center"/>
        <w:keepNext/>
      </w:pPr>
      <w:r>
        <w:rPr>
          <w:rFonts w:ascii="Times New Roman" w:cs="Times New Roman" w:eastAsia="Times New Roman" w:hAnsi="Times New Roman"/>
          <w:b/>
          <w:bCs/>
          <w:sz w:val="28"/>
          <w:szCs w:val="28"/>
        </w:rPr>
        <w:t xml:space="preserve">SUPERIOR COURT OF THE STATE OF CALIFORNIA</w:t>
      </w:r>
    </w:p>
    <w:p>
      <w:pPr>
        <w:spacing w:after="400" w:before="0" w:line="480" w:lineRule="auto"/>
        <w:jc w:val="center"/>
        <w:keepNext/>
      </w:pPr>
      <w:r>
        <w:rPr>
          <w:rFonts w:ascii="Times New Roman" w:cs="Times New Roman" w:eastAsia="Times New Roman" w:hAnsi="Times New Roman"/>
          <w:b/>
          <w:bCs/>
          <w:sz w:val="28"/>
          <w:szCs w:val="28"/>
        </w:rPr>
        <w:t xml:space="preserve">FOR THE COUNTY OF LOS ANGELES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left w:val="none"/>
              <w:bottom w:val="none"/>
              <w:right w:val="single" w:color="000000" w:sz="1"/>
            </w:tcBorders>
          </w:tcPr>
          <w:p>
            <w:pPr>
              <w:spacing w:after="120"/>
            </w:pPr>
            <w:r>
              <w:rPr>
                <w:rFonts w:ascii="Times New Roman" w:cs="Times New Roman" w:eastAsia="Times New Roman" w:hAnsi="Times New Roman"/>
                <w:sz w:val="24"/>
                <w:szCs w:val="24"/>
              </w:rPr>
              <w:t xml:space="preserve">JOSE SEGURA, an individual,</w:t>
            </w:r>
          </w:p>
          <w:p>
            <w:pPr>
              <w:spacing w:after="200"/>
            </w:pPr>
            <w:r>
              <w:rPr>
                <w:rFonts w:ascii="Times New Roman" w:cs="Times New Roman" w:eastAsia="Times New Roman" w:hAnsi="Times New Roman"/>
                <w:i/>
                <w:iCs/>
                <w:sz w:val="24"/>
                <w:szCs w:val="24"/>
              </w:rPr>
              <w:t xml:space="preserve">            Plaintiff,</w:t>
            </w:r>
          </w:p>
          <w:p>
            <w:pPr>
              <w:spacing w:after="200"/>
            </w:pPr>
            <w:r>
              <w:rPr>
                <w:rFonts w:ascii="Times New Roman" w:cs="Times New Roman" w:eastAsia="Times New Roman" w:hAnsi="Times New Roman"/>
                <w:b/>
                <w:bCs/>
                <w:sz w:val="24"/>
                <w:szCs w:val="24"/>
              </w:rPr>
              <w:t xml:space="preserve">        v.</w:t>
            </w:r>
          </w:p>
          <w:p>
            <w:pPr>
              <w:spacing w:after="120"/>
            </w:pPr>
            <w:r>
              <w:rPr>
                <w:rFonts w:ascii="Times New Roman" w:cs="Times New Roman" w:eastAsia="Times New Roman" w:hAnsi="Times New Roman"/>
                <w:sz w:val="24"/>
                <w:szCs w:val="24"/>
              </w:rPr>
              <w:t xml:space="preserve">UNIAPPARTMENT HOMEOWNERS</w:t>
            </w:r>
          </w:p>
          <w:p>
            <w:pPr>
              <w:spacing w:after="120"/>
            </w:pPr>
            <w:r>
              <w:rPr>
                <w:rFonts w:ascii="Times New Roman" w:cs="Times New Roman" w:eastAsia="Times New Roman" w:hAnsi="Times New Roman"/>
                <w:sz w:val="24"/>
                <w:szCs w:val="24"/>
              </w:rPr>
              <w:t xml:space="preserve">ASSOCIATION, a California nonprofit</w:t>
            </w:r>
          </w:p>
          <w:p>
            <w:pPr>
              <w:spacing w:after="120"/>
            </w:pPr>
            <w:r>
              <w:rPr>
                <w:rFonts w:ascii="Times New Roman" w:cs="Times New Roman" w:eastAsia="Times New Roman" w:hAnsi="Times New Roman"/>
                <w:sz w:val="24"/>
                <w:szCs w:val="24"/>
              </w:rPr>
              <w:t xml:space="preserve">corporation; CALIFORNIA HOA</w:t>
            </w:r>
          </w:p>
          <w:p>
            <w:pPr>
              <w:spacing w:after="120"/>
            </w:pPr>
            <w:r>
              <w:rPr>
                <w:rFonts w:ascii="Times New Roman" w:cs="Times New Roman" w:eastAsia="Times New Roman" w:hAnsi="Times New Roman"/>
                <w:sz w:val="24"/>
                <w:szCs w:val="24"/>
              </w:rPr>
              <w:t xml:space="preserve">SOLUTIONS LLC, a California limited</w:t>
            </w:r>
          </w:p>
          <w:p>
            <w:pPr>
              <w:spacing w:after="120"/>
            </w:pPr>
            <w:r>
              <w:rPr>
                <w:rFonts w:ascii="Times New Roman" w:cs="Times New Roman" w:eastAsia="Times New Roman" w:hAnsi="Times New Roman"/>
                <w:sz w:val="24"/>
                <w:szCs w:val="24"/>
              </w:rPr>
              <w:t xml:space="preserve">liability company; JOSHUA OCHOA,</w:t>
            </w:r>
          </w:p>
          <w:p>
            <w:pPr>
              <w:spacing w:after="120"/>
            </w:pPr>
            <w:r>
              <w:rPr>
                <w:rFonts w:ascii="Times New Roman" w:cs="Times New Roman" w:eastAsia="Times New Roman" w:hAnsi="Times New Roman"/>
                <w:sz w:val="24"/>
                <w:szCs w:val="24"/>
              </w:rPr>
              <w:t xml:space="preserve">an individual; DOES 1 through 20,</w:t>
            </w:r>
          </w:p>
          <w:p>
            <w:pPr>
              <w:spacing w:after="120"/>
            </w:pPr>
            <w:r>
              <w:rPr>
                <w:rFonts w:ascii="Times New Roman" w:cs="Times New Roman" w:eastAsia="Times New Roman" w:hAnsi="Times New Roman"/>
                <w:sz w:val="24"/>
                <w:szCs w:val="24"/>
              </w:rPr>
              <w:t xml:space="preserve">inclusive,</w:t>
            </w:r>
          </w:p>
          <w:p>
            <w:pPr>
              <w:spacing w:after="0"/>
            </w:pPr>
            <w:r>
              <w:rPr>
                <w:rFonts w:ascii="Times New Roman" w:cs="Times New Roman" w:eastAsia="Times New Roman" w:hAnsi="Times New Roman"/>
                <w:i/>
                <w:iCs/>
                <w:sz w:val="24"/>
                <w:szCs w:val="24"/>
              </w:rPr>
              <w:t xml:space="preserve">            Defendants.</w:t>
            </w:r>
          </w:p>
        </w:tc>
        <w:tc>
          <w:tcPr>
            <w:tcW w:type="dxa" w:w="4680"/>
            <w:tcBorders>
              <w:top w:val="none"/>
              <w:left w:val="none"/>
              <w:bottom w:val="none"/>
              <w:right w:val="none"/>
            </w:tcBorders>
          </w:tcPr>
          <w:p>
            <w:pPr>
              <w:spacing w:after="200"/>
            </w:pPr>
            <w:r>
              <w:rPr>
                <w:rFonts w:ascii="Times New Roman" w:cs="Times New Roman" w:eastAsia="Times New Roman" w:hAnsi="Times New Roman"/>
                <w:sz w:val="24"/>
                <w:szCs w:val="24"/>
              </w:rPr>
              <w:t xml:space="preserve">Case No. _______________</w:t>
            </w:r>
          </w:p>
          <w:p>
            <w:pPr>
              <w:spacing w:after="200"/>
            </w:pPr>
          </w:p>
          <w:p>
            <w:pPr>
              <w:spacing w:after="60"/>
            </w:pPr>
            <w:r>
              <w:rPr>
                <w:rFonts w:ascii="Times New Roman" w:cs="Times New Roman" w:eastAsia="Times New Roman" w:hAnsi="Times New Roman"/>
                <w:b/>
                <w:bCs/>
                <w:sz w:val="24"/>
                <w:szCs w:val="24"/>
              </w:rPr>
              <w:t xml:space="preserve">VERIFIED COMPLAINT FOR:</w:t>
            </w:r>
          </w:p>
          <w:p>
            <w:pPr>
              <w:spacing w:after="60"/>
            </w:pPr>
            <w:r>
              <w:rPr>
                <w:rFonts w:ascii="Times New Roman" w:cs="Times New Roman" w:eastAsia="Times New Roman" w:hAnsi="Times New Roman"/>
                <w:sz w:val="20"/>
                <w:szCs w:val="20"/>
              </w:rPr>
              <w:t xml:space="preserve">1. Breach of CC&amp;Rs</w:t>
            </w:r>
          </w:p>
          <w:p>
            <w:pPr>
              <w:spacing w:after="60"/>
            </w:pPr>
            <w:r>
              <w:rPr>
                <w:rFonts w:ascii="Times New Roman" w:cs="Times New Roman" w:eastAsia="Times New Roman" w:hAnsi="Times New Roman"/>
                <w:sz w:val="20"/>
                <w:szCs w:val="20"/>
              </w:rPr>
              <w:t xml:space="preserve">2. Breach of Fiduciary Duty</w:t>
            </w:r>
          </w:p>
          <w:p>
            <w:pPr>
              <w:spacing w:after="60"/>
            </w:pPr>
            <w:r>
              <w:rPr>
                <w:rFonts w:ascii="Times New Roman" w:cs="Times New Roman" w:eastAsia="Times New Roman" w:hAnsi="Times New Roman"/>
                <w:sz w:val="20"/>
                <w:szCs w:val="20"/>
              </w:rPr>
              <w:t xml:space="preserve">3. Negligence</w:t>
            </w:r>
          </w:p>
          <w:p>
            <w:pPr>
              <w:spacing w:after="60"/>
            </w:pPr>
            <w:r>
              <w:rPr>
                <w:rFonts w:ascii="Times New Roman" w:cs="Times New Roman" w:eastAsia="Times New Roman" w:hAnsi="Times New Roman"/>
                <w:sz w:val="20"/>
                <w:szCs w:val="20"/>
              </w:rPr>
              <w:t xml:space="preserve">4. Private Nuisance</w:t>
            </w:r>
          </w:p>
          <w:p>
            <w:pPr>
              <w:spacing w:after="60"/>
            </w:pPr>
            <w:r>
              <w:rPr>
                <w:rFonts w:ascii="Times New Roman" w:cs="Times New Roman" w:eastAsia="Times New Roman" w:hAnsi="Times New Roman"/>
                <w:sz w:val="20"/>
                <w:szCs w:val="20"/>
              </w:rPr>
              <w:t xml:space="preserve">5. Public Nuisance</w:t>
            </w:r>
          </w:p>
          <w:p>
            <w:pPr>
              <w:spacing w:after="60"/>
            </w:pPr>
            <w:r>
              <w:rPr>
                <w:rFonts w:ascii="Times New Roman" w:cs="Times New Roman" w:eastAsia="Times New Roman" w:hAnsi="Times New Roman"/>
                <w:sz w:val="20"/>
                <w:szCs w:val="20"/>
              </w:rPr>
              <w:t xml:space="preserve">6. Property Damage</w:t>
            </w:r>
          </w:p>
          <w:p>
            <w:pPr>
              <w:spacing w:after="60"/>
            </w:pPr>
            <w:r>
              <w:rPr>
                <w:rFonts w:ascii="Times New Roman" w:cs="Times New Roman" w:eastAsia="Times New Roman" w:hAnsi="Times New Roman"/>
                <w:sz w:val="20"/>
                <w:szCs w:val="20"/>
              </w:rPr>
              <w:t xml:space="preserve">7. Declaratory Relief</w:t>
            </w:r>
          </w:p>
          <w:p>
            <w:pPr>
              <w:spacing w:after="60"/>
            </w:pPr>
            <w:r>
              <w:rPr>
                <w:rFonts w:ascii="Times New Roman" w:cs="Times New Roman" w:eastAsia="Times New Roman" w:hAnsi="Times New Roman"/>
                <w:sz w:val="20"/>
                <w:szCs w:val="20"/>
              </w:rPr>
              <w:t xml:space="preserve">8. Injunctive Relief</w:t>
            </w:r>
          </w:p>
          <w:p>
            <w:pPr>
              <w:spacing w:after="60"/>
            </w:pPr>
            <w:r>
              <w:rPr>
                <w:rFonts w:ascii="Times New Roman" w:cs="Times New Roman" w:eastAsia="Times New Roman" w:hAnsi="Times New Roman"/>
                <w:b/>
                <w:bCs/>
                <w:sz w:val="20"/>
                <w:szCs w:val="20"/>
              </w:rPr>
              <w:t xml:space="preserve">[DEMAND FOR JURY TRIAL]</w:t>
            </w:r>
          </w:p>
        </w:tc>
      </w:tr>
    </w:tbl>
    <w:p>
      <w:pPr>
        <w:spacing w:after="200" w:before="0" w:line="480" w:lineRule="auto"/>
        <w:jc w:val="both"/>
      </w:pPr>
      <w:r>
        <w:rPr>
          <w:rFonts w:ascii="Times New Roman" w:cs="Times New Roman" w:eastAsia="Times New Roman" w:hAnsi="Times New Roman"/>
          <w:b w:val="false"/>
          <w:bCs w:val="false"/>
          <w:i w:val="false"/>
          <w:iCs w:val="false"/>
          <w:sz w:val="24"/>
          <w:szCs w:val="24"/>
        </w:rPr>
        <w:t xml:space="preserve"/>
      </w:r>
    </w:p>
    <w:p>
      <w:pPr>
        <w:pBdr>
          <w:bottom w:val="single" w:color="000000" w:sz="6" w:space="1"/>
        </w:pBdr>
        <w:spacing w:after="300" w:line="480" w:lineRule="auto"/>
      </w:pPr>
    </w:p>
    <w:p>
      <w:pPr>
        <w:spacing w:after="60" w:before="0" w:line="480" w:lineRule="auto"/>
        <w:jc w:val="center"/>
        <w:keepNext/>
      </w:pPr>
      <w:r>
        <w:rPr>
          <w:rFonts w:ascii="Times New Roman" w:cs="Times New Roman" w:eastAsia="Times New Roman" w:hAnsi="Times New Roman"/>
          <w:b/>
          <w:bCs/>
          <w:sz w:val="28"/>
          <w:szCs w:val="28"/>
          <w:u w:val="single"/>
        </w:rPr>
        <w:t xml:space="preserve">VERIFIED COMPLAINT FOR DAMAGES, DECLARATORY RELIEF,</w:t>
      </w:r>
    </w:p>
    <w:p>
      <w:pPr>
        <w:spacing w:after="400" w:before="0" w:line="480" w:lineRule="auto"/>
        <w:jc w:val="center"/>
        <w:keepNext/>
      </w:pPr>
      <w:r>
        <w:rPr>
          <w:rFonts w:ascii="Times New Roman" w:cs="Times New Roman" w:eastAsia="Times New Roman" w:hAnsi="Times New Roman"/>
          <w:b/>
          <w:bCs/>
          <w:sz w:val="28"/>
          <w:szCs w:val="28"/>
          <w:u w:val="single"/>
        </w:rPr>
        <w:t xml:space="preserve">INJUNCTIVE RELIEF, AND DEMAND FOR JURY TRIAL</w:t>
      </w:r>
    </w:p>
    <w:p>
      <w:pPr>
        <w:spacing w:after="400" w:before="0" w:line="480" w:lineRule="auto"/>
        <w:jc w:val="both"/>
      </w:pPr>
      <w:r>
        <w:rPr>
          <w:rFonts w:ascii="Times New Roman" w:cs="Times New Roman" w:eastAsia="Times New Roman" w:hAnsi="Times New Roman"/>
          <w:b w:val="false"/>
          <w:bCs w:val="false"/>
          <w:i w:val="false"/>
          <w:iCs w:val="false"/>
          <w:sz w:val="24"/>
          <w:szCs w:val="24"/>
        </w:rPr>
        <w:t xml:space="preserve">Plaintiff Jose Segura (“Plaintiff”) hereby alleges as follows against Defendants Uniappartment Homeowners Association (“Association” or “HOA”), California HOA Solutions LLC (“Management Company”), Joshua Ochoa (“Ochoa”), and Does 1 through 20, inclusive (collectively, “Defendants”):</w:t>
      </w:r>
    </w:p>
    <w:p>
      <w:pPr>
        <w:spacing w:before="360" w:after="240" w:line="480" w:lineRule="auto"/>
        <w:jc w:val="center"/>
        <w:keepNext/>
      </w:pPr>
      <w:r>
        <w:rPr>
          <w:rFonts w:ascii="Times New Roman" w:cs="Times New Roman" w:eastAsia="Times New Roman" w:hAnsi="Times New Roman"/>
          <w:b/>
          <w:bCs/>
          <w:sz w:val="28"/>
          <w:szCs w:val="28"/>
          <w:u w:val="single"/>
        </w:rPr>
        <w:t xml:space="preserve">PARTIES</w:t>
      </w:r>
    </w:p>
    <w:p>
      <w:pPr>
        <w:spacing w:after="200" w:line="480" w:lineRule="auto"/>
        <w:ind w:left="720" w:hanging="720"/>
        <w:jc w:val="both"/>
      </w:pPr>
      <w:r>
        <w:rPr>
          <w:rFonts w:ascii="Times New Roman" w:cs="Times New Roman" w:eastAsia="Times New Roman" w:hAnsi="Times New Roman"/>
          <w:sz w:val="24"/>
          <w:szCs w:val="24"/>
        </w:rPr>
        <w:t>1. Plaintiff Jose Segura is an individual and the owner of record of Unit 208 at 15516 Nordhoff Street, North Hills, California 91343, within the common interest development known as the Uniappartment Homeowners Association, Lot 1 of Tract 38490, City of Los Angeles, County of Los Angeles, State of California. Plaintiff is a member in good standing of the Association, current on all assessments.</w:t>
      </w:r>
    </w:p>
    <w:p>
      <w:pPr>
        <w:spacing w:after="200" w:line="480" w:lineRule="auto"/>
        <w:ind w:left="720" w:hanging="720"/>
        <w:jc w:val="both"/>
      </w:pPr>
      <w:r>
        <w:rPr>
          <w:rFonts w:ascii="Times New Roman" w:cs="Times New Roman" w:eastAsia="Times New Roman" w:hAnsi="Times New Roman"/>
          <w:sz w:val="24"/>
          <w:szCs w:val="24"/>
        </w:rPr>
        <w:t>2. Defendant Uniappartment Homeowners Association is, on information and belief, a California nonprofit corporation organized and existing under the laws of the State of California, responsible for managing the common interest development located at 15516 Nordhoff Street, North Hills, California 91343, consisting of 29 condominium units. The Association is governed by the Davis-Stirling Common Interest Development Act (California Civil Code §§ 4000-6150) and its Declaration of Covenants, Conditions and Restrictions (“CC&amp;Rs”) executed in 2016.</w:t>
      </w:r>
    </w:p>
    <w:p>
      <w:pPr>
        <w:spacing w:after="200" w:line="480" w:lineRule="auto"/>
        <w:ind w:left="720" w:hanging="720"/>
        <w:jc w:val="both"/>
      </w:pPr>
      <w:r>
        <w:rPr>
          <w:rFonts w:ascii="Times New Roman" w:cs="Times New Roman" w:eastAsia="Times New Roman" w:hAnsi="Times New Roman"/>
          <w:sz w:val="24"/>
          <w:szCs w:val="24"/>
        </w:rPr>
        <w:t>3. Defendant California HOA Solutions LLC is a California limited liability company (Entity No. 201930310151, formed October 27, 2019), with its principal place of business at 5850 Canoga Avenue, Suite 400, Los Angeles, California 91367. Its CEO is Sabawoon Shewa. California HOA Solutions LLC serves as the property management company for the Association and is responsible for the day-to-day management of the common interest development, including receiving and responding to maintenance requests from unit owners.</w:t>
      </w:r>
    </w:p>
    <w:p>
      <w:pPr>
        <w:spacing w:after="200" w:line="480" w:lineRule="auto"/>
        <w:ind w:left="720" w:hanging="720"/>
        <w:jc w:val="both"/>
      </w:pPr>
      <w:r>
        <w:rPr>
          <w:rFonts w:ascii="Times New Roman" w:cs="Times New Roman" w:eastAsia="Times New Roman" w:hAnsi="Times New Roman"/>
          <w:sz w:val="24"/>
          <w:szCs w:val="24"/>
        </w:rPr>
        <w:t>4. Defendant Joshua Ochoa is an individual who serves as General Manager of California HOA Solutions LLC. Ochoa is the individual who personally received Plaintiff’s written maintenance request on October 14, 2025, documenting ceiling leakage and mold buildup in Unit 208 as a “health hazard,” and who took no action in response.</w:t>
      </w:r>
    </w:p>
    <w:p>
      <w:pPr>
        <w:spacing w:after="200" w:line="480" w:lineRule="auto"/>
        <w:ind w:left="720" w:hanging="720"/>
        <w:jc w:val="both"/>
      </w:pPr>
      <w:r>
        <w:rPr>
          <w:rFonts w:ascii="Times New Roman" w:cs="Times New Roman" w:eastAsia="Times New Roman" w:hAnsi="Times New Roman"/>
          <w:sz w:val="24"/>
          <w:szCs w:val="24"/>
        </w:rPr>
        <w:t>5. The true names and capacities of Defendants Does 1 through 20, inclusive, are unknown to Plaintiff at this time. Plaintiff is informed and believes, and thereupon alleges, that each of the Doe Defendants is legally responsible for the acts and omissions alleged herein. Plaintiff will amend this Complaint to set forth their true names and capacities when they are ascertained. On information and belief, Does 1 through 3 are the individual members of the Association’s Board of Directors who voted against exercising emergency assessment authority to repair the roof despite documented mold contamination.</w:t>
      </w:r>
    </w:p>
    <w:p>
      <w:pPr>
        <w:spacing w:before="360" w:after="240" w:line="480" w:lineRule="auto"/>
        <w:jc w:val="center"/>
        <w:keepNext/>
      </w:pPr>
      <w:r>
        <w:rPr>
          <w:rFonts w:ascii="Times New Roman" w:cs="Times New Roman" w:eastAsia="Times New Roman" w:hAnsi="Times New Roman"/>
          <w:b/>
          <w:bCs/>
          <w:sz w:val="28"/>
          <w:szCs w:val="28"/>
          <w:u w:val="single"/>
        </w:rPr>
        <w:t xml:space="preserve">JURISDICTION AND VENUE</w:t>
      </w:r>
    </w:p>
    <w:p>
      <w:pPr>
        <w:spacing w:after="200" w:line="480" w:lineRule="auto"/>
        <w:ind w:left="720" w:hanging="720"/>
        <w:jc w:val="both"/>
      </w:pPr>
      <w:r>
        <w:rPr>
          <w:rFonts w:ascii="Times New Roman" w:cs="Times New Roman" w:eastAsia="Times New Roman" w:hAnsi="Times New Roman"/>
          <w:sz w:val="24"/>
          <w:szCs w:val="24"/>
        </w:rPr>
        <w:t>6. This Court has jurisdiction over this action pursuant to California Code of Civil Procedure Sections 410.10 and 86 (unlimited civil jurisdiction). The amount in controversy exceeds $25,000, exclusive of interest and costs.</w:t>
      </w:r>
    </w:p>
    <w:p>
      <w:pPr>
        <w:spacing w:after="200" w:line="480" w:lineRule="auto"/>
        <w:ind w:left="720" w:hanging="720"/>
        <w:jc w:val="both"/>
      </w:pPr>
      <w:r>
        <w:rPr>
          <w:rFonts w:ascii="Times New Roman" w:cs="Times New Roman" w:eastAsia="Times New Roman" w:hAnsi="Times New Roman"/>
          <w:sz w:val="24"/>
          <w:szCs w:val="24"/>
        </w:rPr>
        <w:t>7. Venue is proper in this Court pursuant to Code of Civil Procedure Section 392(a)(1) because the real property at issue is located in the County of Los Angeles, and pursuant to Section 395.5 because Defendants reside and/or conduct business in the County of Los Angeles.</w:t>
      </w:r>
    </w:p>
    <w:p>
      <w:pPr>
        <w:spacing w:before="360" w:after="240" w:line="480" w:lineRule="auto"/>
        <w:jc w:val="center"/>
        <w:keepNext/>
      </w:pPr>
      <w:r>
        <w:rPr>
          <w:rFonts w:ascii="Times New Roman" w:cs="Times New Roman" w:eastAsia="Times New Roman" w:hAnsi="Times New Roman"/>
          <w:b/>
          <w:bCs/>
          <w:sz w:val="28"/>
          <w:szCs w:val="28"/>
          <w:u w:val="single"/>
        </w:rPr>
        <w:t xml:space="preserve">GENERAL ALLEGATIONS</w:t>
      </w:r>
    </w:p>
    <w:p>
      <w:pPr>
        <w:spacing w:before="300" w:after="200" w:line="480" w:lineRule="auto"/>
        <w:jc w:val="left"/>
        <w:keepNext/>
      </w:pPr>
      <w:r>
        <w:rPr>
          <w:rFonts w:ascii="Times New Roman" w:cs="Times New Roman" w:eastAsia="Times New Roman" w:hAnsi="Times New Roman"/>
          <w:b/>
          <w:bCs/>
          <w:i/>
          <w:iCs/>
          <w:sz w:val="24"/>
          <w:szCs w:val="24"/>
          <w:u w:val="single"/>
        </w:rPr>
        <w:t xml:space="preserve">The Common Interest Development and CC&amp;Rs</w:t>
      </w:r>
    </w:p>
    <w:p>
      <w:pPr>
        <w:spacing w:after="200" w:line="480" w:lineRule="auto"/>
        <w:ind w:left="720" w:hanging="720"/>
        <w:jc w:val="both"/>
      </w:pPr>
      <w:r>
        <w:rPr>
          <w:rFonts w:ascii="Times New Roman" w:cs="Times New Roman" w:eastAsia="Times New Roman" w:hAnsi="Times New Roman"/>
          <w:sz w:val="24"/>
          <w:szCs w:val="24"/>
        </w:rPr>
        <w:t>8. The Uniappartment Homeowners Association is a common interest development as defined by California Civil Code Section 4100, consisting of 29 condominium units located at 15516 Nordhoff Street, North Hills, California 91343.</w:t>
      </w:r>
    </w:p>
    <w:p>
      <w:pPr>
        <w:spacing w:after="200" w:line="480" w:lineRule="auto"/>
        <w:ind w:left="720" w:hanging="720"/>
        <w:jc w:val="both"/>
      </w:pPr>
      <w:r>
        <w:rPr>
          <w:rFonts w:ascii="Times New Roman" w:cs="Times New Roman" w:eastAsia="Times New Roman" w:hAnsi="Times New Roman"/>
          <w:sz w:val="24"/>
          <w:szCs w:val="24"/>
        </w:rPr>
        <w:t>9. The development is governed by a Declaration of Covenants, Conditions and Restrictions executed in 2016, which supersedes all prior recorded declarations. The CC&amp;Rs constitute enforceable equitable servitudes binding on all owners and the Association pursuant to Civil Code Section 5975(a).</w:t>
      </w:r>
    </w:p>
    <w:p>
      <w:pPr>
        <w:spacing w:after="200" w:line="480" w:lineRule="auto"/>
        <w:ind w:left="720" w:hanging="720"/>
        <w:jc w:val="both"/>
      </w:pPr>
      <w:r>
        <w:rPr>
          <w:rFonts w:ascii="Times New Roman" w:cs="Times New Roman" w:eastAsia="Times New Roman" w:hAnsi="Times New Roman"/>
          <w:sz w:val="24"/>
          <w:szCs w:val="24"/>
        </w:rPr>
        <w:t>10. Section 15 of the CC&amp;Rs defines each “Unit” as consisting only of the interior surfaces of the perimeter walls, floor, ceilings, windows, and doors. The CC&amp;Rs explicitly exclude from the Unit definition: “bearing walls, columns, floors, roofs, foundations, common stairways and hallways, reservoirs, tanks, pumps, balcony surfaces, and other central services, equipment, pipes, ducts, flues, chutes, conduits, wires, solar heating panels and equipment and other utility installations.” These excluded elements are common area.</w:t>
      </w:r>
    </w:p>
    <w:p>
      <w:pPr>
        <w:spacing w:after="200" w:line="480" w:lineRule="auto"/>
        <w:ind w:left="720" w:hanging="720"/>
        <w:jc w:val="both"/>
        <w:keepNext/>
      </w:pPr>
      <w:r>
        <w:rPr>
          <w:rFonts w:ascii="Times New Roman" w:cs="Times New Roman" w:eastAsia="Times New Roman" w:hAnsi="Times New Roman"/>
          <w:sz w:val="24"/>
          <w:szCs w:val="24"/>
        </w:rPr>
        <w:t xml:space="preserve">11. Article III, Section 6(A) of the CC&amp;Rs imposes a mandatory duty on the Association: “The Association, acting through the Board, </w:t>
      </w:r>
      <w:r>
        <w:rPr>
          <w:rFonts w:ascii="Times New Roman" w:cs="Times New Roman" w:eastAsia="Times New Roman" w:hAnsi="Times New Roman"/>
          <w:b/>
          <w:bCs/>
          <w:sz w:val="24"/>
          <w:szCs w:val="24"/>
        </w:rPr>
        <w:t xml:space="preserve">shall</w:t>
      </w:r>
      <w:r>
        <w:rPr>
          <w:rFonts w:ascii="Times New Roman" w:cs="Times New Roman" w:eastAsia="Times New Roman" w:hAnsi="Times New Roman"/>
          <w:sz w:val="24"/>
          <w:szCs w:val="24"/>
        </w:rPr>
        <w:t xml:space="preserve"> operate and maintain the Common Areas and the facilities located thereon; such duty shall include but shall not be limited to; exterior painting, </w:t>
      </w:r>
      <w:r>
        <w:rPr>
          <w:rFonts w:ascii="Times New Roman" w:cs="Times New Roman" w:eastAsia="Times New Roman" w:hAnsi="Times New Roman"/>
          <w:b/>
          <w:bCs/>
          <w:sz w:val="24"/>
          <w:szCs w:val="24"/>
        </w:rPr>
        <w:t xml:space="preserve">maintenance, repair</w:t>
      </w:r>
      <w:r>
        <w:rPr>
          <w:rFonts w:ascii="Times New Roman" w:cs="Times New Roman" w:eastAsia="Times New Roman" w:hAnsi="Times New Roman"/>
          <w:sz w:val="24"/>
          <w:szCs w:val="24"/>
        </w:rPr>
        <w:t xml:space="preserve">, and all of the landscaping of the Common Area.”</w:t>
      </w:r>
    </w:p>
    <w:p>
      <w:pPr>
        <w:spacing w:after="200" w:line="480" w:lineRule="auto"/>
        <w:ind w:left="720" w:hanging="720"/>
        <w:jc w:val="both"/>
      </w:pPr>
      <w:r>
        <w:rPr>
          <w:rFonts w:ascii="Times New Roman" w:cs="Times New Roman" w:eastAsia="Times New Roman" w:hAnsi="Times New Roman"/>
          <w:sz w:val="24"/>
          <w:szCs w:val="24"/>
        </w:rPr>
        <w:t>12. Article V, Section 2 of the CC&amp;Rs confirms: “Except for those portions which the Association is required to maintain and repair, each Unit Owner shall, at his sole cost and expense, maintain and repair his Unit.” The roof is not part of any Unit. The roof is a common area component. The Association’s duty to maintain the roof is mandatory and non-discretionary.</w:t>
      </w:r>
    </w:p>
    <w:p>
      <w:pPr>
        <w:spacing w:after="200" w:line="480" w:lineRule="auto"/>
        <w:ind w:left="720" w:hanging="720"/>
        <w:jc w:val="both"/>
      </w:pPr>
      <w:r>
        <w:rPr>
          <w:rFonts w:ascii="Times New Roman" w:cs="Times New Roman" w:eastAsia="Times New Roman" w:hAnsi="Times New Roman"/>
          <w:sz w:val="24"/>
          <w:szCs w:val="24"/>
        </w:rPr>
        <w:t>13. California Civil Code Section 4775(a)(1) independently imposes the same duty: “Unless otherwise provided in the declaration of a common interest development, the association is responsible for repairing, replacing, or maintaining the common area.” The CC&amp;Rs do not provide otherwise; they reinforce this statutory duty.</w:t>
      </w:r>
    </w:p>
    <w:p>
      <w:pPr>
        <w:spacing w:before="300" w:after="200" w:line="480" w:lineRule="auto"/>
        <w:jc w:val="left"/>
        <w:keepNext/>
      </w:pPr>
      <w:r>
        <w:rPr>
          <w:rFonts w:ascii="Times New Roman" w:cs="Times New Roman" w:eastAsia="Times New Roman" w:hAnsi="Times New Roman"/>
          <w:b/>
          <w:bCs/>
          <w:i/>
          <w:iCs/>
          <w:sz w:val="24"/>
          <w:szCs w:val="24"/>
          <w:u w:val="single"/>
        </w:rPr>
        <w:t xml:space="preserve">The Leaking Roof and Mold Contamination</w:t>
      </w:r>
    </w:p>
    <w:p>
      <w:pPr>
        <w:spacing w:after="200" w:line="480" w:lineRule="auto"/>
        <w:ind w:left="720" w:hanging="720"/>
        <w:jc w:val="both"/>
      </w:pPr>
      <w:r>
        <w:rPr>
          <w:rFonts w:ascii="Times New Roman" w:cs="Times New Roman" w:eastAsia="Times New Roman" w:hAnsi="Times New Roman"/>
          <w:sz w:val="24"/>
          <w:szCs w:val="24"/>
        </w:rPr>
        <w:t>14. At all times relevant herein, the roof of the building at 15516 Nordhoff Street has been leaking, causing chronic water intrusion into Unit 208 and, on information and belief, at least eight (8) other units in the building.</w:t>
      </w:r>
    </w:p>
    <w:p>
      <w:pPr>
        <w:spacing w:after="200" w:line="480" w:lineRule="auto"/>
        <w:ind w:left="720" w:hanging="720"/>
        <w:jc w:val="both"/>
      </w:pPr>
      <w:r>
        <w:rPr>
          <w:rFonts w:ascii="Times New Roman" w:cs="Times New Roman" w:eastAsia="Times New Roman" w:hAnsi="Times New Roman"/>
          <w:sz w:val="24"/>
          <w:szCs w:val="24"/>
        </w:rPr>
        <w:t>15. The water intrusion has caused extensive damage to the interior of Unit 208, including damage to the ceilings in the hallway, master bedroom, second bedroom, dining room, living room, and kitchen, as well as to the HVAC closet and its insulation.</w:t>
      </w:r>
    </w:p>
    <w:p>
      <w:pPr>
        <w:spacing w:after="200" w:line="480" w:lineRule="auto"/>
        <w:ind w:left="720" w:hanging="720"/>
        <w:jc w:val="both"/>
      </w:pPr>
      <w:r>
        <w:rPr>
          <w:rFonts w:ascii="Times New Roman" w:cs="Times New Roman" w:eastAsia="Times New Roman" w:hAnsi="Times New Roman"/>
          <w:sz w:val="24"/>
          <w:szCs w:val="24"/>
        </w:rPr>
        <w:t>16. The chronic water intrusion has caused mold to develop on the ceiling surfaces and within the building materials of Unit 208.</w:t>
      </w:r>
    </w:p>
    <w:p>
      <w:pPr>
        <w:spacing w:after="200" w:line="480" w:lineRule="auto"/>
        <w:ind w:left="720" w:hanging="720"/>
        <w:jc w:val="both"/>
      </w:pPr>
      <w:r>
        <w:rPr>
          <w:rFonts w:ascii="Times New Roman" w:cs="Times New Roman" w:eastAsia="Times New Roman" w:hAnsi="Times New Roman"/>
          <w:sz w:val="24"/>
          <w:szCs w:val="24"/>
        </w:rPr>
        <w:t>17. On April 27, 2025, Plaintiff retained a licensed, accredited environmental testing company — LA Testing (AIHA-EMLAP Accredited Lab #102814) — to conduct professional air quality sampling and surface mold assessment of Unit 208. The testing was performed under EMSL Order #322508477 using Methods MICRO-SOP-201 and ASTM D7391.</w:t>
      </w:r>
    </w:p>
    <w:p>
      <w:pPr>
        <w:spacing w:after="200" w:line="480" w:lineRule="auto"/>
        <w:ind w:left="720" w:hanging="720"/>
        <w:jc w:val="both"/>
        <w:keepNext/>
      </w:pPr>
      <w:r>
        <w:rPr>
          <w:rFonts w:ascii="Times New Roman" w:cs="Times New Roman" w:eastAsia="Times New Roman" w:hAnsi="Times New Roman"/>
          <w:sz w:val="24"/>
          <w:szCs w:val="24"/>
        </w:rPr>
        <w:t xml:space="preserve">18. The laboratory results, analyzed on April 30, 2025, confirmed significant indoor mold amplification: </w:t>
      </w:r>
      <w:r>
        <w:rPr>
          <w:rFonts w:ascii="Times New Roman" w:cs="Times New Roman" w:eastAsia="Times New Roman" w:hAnsi="Times New Roman"/>
          <w:b/>
          <w:bCs/>
          <w:sz w:val="24"/>
          <w:szCs w:val="24"/>
        </w:rPr>
        <w:t xml:space="preserve">Aspergillus/Penicillium spore concentration of 790 count/m³ indoors (Hallway HVAC Closet) versus 260 count/m³ outdoors (Outside Baseline)</w:t>
      </w:r>
      <w:r>
        <w:rPr>
          <w:rFonts w:ascii="Times New Roman" w:cs="Times New Roman" w:eastAsia="Times New Roman" w:hAnsi="Times New Roman"/>
          <w:sz w:val="24"/>
          <w:szCs w:val="24"/>
        </w:rPr>
        <w:t xml:space="preserve"> — a ratio of approximately 3.04:1 indoor-to-outdoor. This ratio substantially exceeds the standard that indoor levels should be similar to or lower than outdoor levels, confirming active indoor mold amplification.</w:t>
      </w:r>
    </w:p>
    <w:p>
      <w:pPr>
        <w:spacing w:after="200" w:line="480" w:lineRule="auto"/>
        <w:ind w:left="720" w:hanging="720"/>
        <w:jc w:val="both"/>
      </w:pPr>
      <w:r>
        <w:rPr>
          <w:rFonts w:ascii="Times New Roman" w:cs="Times New Roman" w:eastAsia="Times New Roman" w:hAnsi="Times New Roman"/>
          <w:sz w:val="24"/>
          <w:szCs w:val="24"/>
        </w:rPr>
        <w:t>19. Surface swab testing of the hallway ceiling confirmed the presence of Alternaria (Ulocladium), a mold species recognized as one of the most significant fungal allergen sources worldwide and a definitive indicator of water-damaged buildings.</w:t>
      </w:r>
    </w:p>
    <w:p>
      <w:pPr>
        <w:spacing w:after="200" w:line="480" w:lineRule="auto"/>
        <w:ind w:left="720" w:hanging="720"/>
        <w:jc w:val="both"/>
      </w:pPr>
      <w:r>
        <w:rPr>
          <w:rFonts w:ascii="Times New Roman" w:cs="Times New Roman" w:eastAsia="Times New Roman" w:hAnsi="Times New Roman"/>
          <w:sz w:val="24"/>
          <w:szCs w:val="24"/>
        </w:rPr>
        <w:t>20. On May 1, 2025, Cristina Martinez of Mold &amp; Water Damage Specialist Inc. informed Plaintiff in writing that the test results were “positive for mold” with “elevated indoor vs outdoor spores.” Ms. Martinez specifically warned that tenants would need to be relocated during remediation and that the air conditioning system must not be operated until clearance testing was passed.</w:t>
      </w:r>
    </w:p>
    <w:p>
      <w:pPr>
        <w:spacing w:after="200" w:line="480" w:lineRule="auto"/>
        <w:ind w:left="720" w:hanging="720"/>
        <w:jc w:val="both"/>
      </w:pPr>
      <w:r>
        <w:rPr>
          <w:rFonts w:ascii="Times New Roman" w:cs="Times New Roman" w:eastAsia="Times New Roman" w:hAnsi="Times New Roman"/>
          <w:sz w:val="24"/>
          <w:szCs w:val="24"/>
        </w:rPr>
        <w:t>21. On February 6, 2026, Mold &amp; Water Damage Specialist Inc. prepared Estimate #337 for mold remediation of Unit 208. The estimated cost is $17,243.53. The remediation requires removal of the entire ceiling in six rooms, plus the entire east wall in the master bedroom, setup of containment barriers and negative air scrubbers, HEPA vacuuming, and chemical wipe-down. The estimate does not include reconstruction of demolished surfaces.</w:t>
      </w:r>
    </w:p>
    <w:p>
      <w:pPr>
        <w:spacing w:after="200" w:line="480" w:lineRule="auto"/>
        <w:ind w:left="720" w:hanging="720"/>
        <w:jc w:val="both"/>
        <w:keepNext/>
      </w:pPr>
      <w:r>
        <w:rPr>
          <w:rFonts w:ascii="Times New Roman" w:cs="Times New Roman" w:eastAsia="Times New Roman" w:hAnsi="Times New Roman"/>
          <w:sz w:val="24"/>
          <w:szCs w:val="24"/>
        </w:rPr>
        <w:t xml:space="preserve">22. Critically, the remediation estimate states in explicit terms: </w:t>
      </w:r>
      <w:r>
        <w:rPr>
          <w:rFonts w:ascii="Times New Roman" w:cs="Times New Roman" w:eastAsia="Times New Roman" w:hAnsi="Times New Roman"/>
          <w:b/>
          <w:bCs/>
          <w:sz w:val="24"/>
          <w:szCs w:val="24"/>
        </w:rPr>
        <w:t xml:space="preserve">“THE ROOF MUST BE COMPLETELY REPAIRED BEFORE THE MOLD REMEDIATION CLEAN-UP STARTS.”</w:t>
      </w:r>
      <w:r>
        <w:rPr>
          <w:rFonts w:ascii="Times New Roman" w:cs="Times New Roman" w:eastAsia="Times New Roman" w:hAnsi="Times New Roman"/>
          <w:sz w:val="24"/>
          <w:szCs w:val="24"/>
        </w:rPr>
        <w:t xml:space="preserve"> Remediation is impossible until the source of moisture intrusion — the leaking roof — is repaired. Only the Association has the authority and obligation to repair the roof.</w:t>
      </w:r>
    </w:p>
    <w:p>
      <w:pPr>
        <w:spacing w:after="200" w:line="480" w:lineRule="auto"/>
        <w:ind w:left="720" w:hanging="720"/>
        <w:jc w:val="both"/>
      </w:pPr>
      <w:r>
        <w:rPr>
          <w:rFonts w:ascii="Times New Roman" w:cs="Times New Roman" w:eastAsia="Times New Roman" w:hAnsi="Times New Roman"/>
          <w:sz w:val="24"/>
          <w:szCs w:val="24"/>
        </w:rPr>
        <w:t>23. The HVAC closet insulation was observed during inspection to be heavily soiled and possibly damaged. It may be contaminated with both mold and asbestos. Given that the building was constructed circa 1980, the insulation constitutes Presumed Asbestos Containing Material under Title 8 CCR Section 1529.</w:t>
      </w:r>
    </w:p>
    <w:p>
      <w:pPr>
        <w:spacing w:before="300" w:after="200" w:line="480" w:lineRule="auto"/>
        <w:jc w:val="left"/>
        <w:keepNext/>
      </w:pPr>
      <w:r>
        <w:rPr>
          <w:rFonts w:ascii="Times New Roman" w:cs="Times New Roman" w:eastAsia="Times New Roman" w:hAnsi="Times New Roman"/>
          <w:b/>
          <w:bCs/>
          <w:i/>
          <w:iCs/>
          <w:sz w:val="24"/>
          <w:szCs w:val="24"/>
          <w:u w:val="single"/>
        </w:rPr>
        <w:t xml:space="preserve">The Association’s Knowledge and Failure to Act</w:t>
      </w:r>
    </w:p>
    <w:p>
      <w:pPr>
        <w:spacing w:after="200" w:line="480" w:lineRule="auto"/>
        <w:ind w:left="720" w:hanging="720"/>
        <w:jc w:val="both"/>
        <w:keepNext/>
      </w:pPr>
      <w:r>
        <w:rPr>
          <w:rFonts w:ascii="Times New Roman" w:cs="Times New Roman" w:eastAsia="Times New Roman" w:hAnsi="Times New Roman"/>
          <w:sz w:val="24"/>
          <w:szCs w:val="24"/>
        </w:rPr>
        <w:t xml:space="preserve">24. </w:t>
      </w:r>
      <w:r>
        <w:rPr>
          <w:rFonts w:ascii="Times New Roman" w:cs="Times New Roman" w:eastAsia="Times New Roman" w:hAnsi="Times New Roman"/>
          <w:b/>
          <w:bCs/>
          <w:sz w:val="24"/>
          <w:szCs w:val="24"/>
        </w:rPr>
        <w:t xml:space="preserve">On October 14, 2025, Plaintiff submitted a written maintenance request directly to Defendant Joshua Ochoa</w:t>
      </w:r>
      <w:r>
        <w:rPr>
          <w:rFonts w:ascii="Times New Roman" w:cs="Times New Roman" w:eastAsia="Times New Roman" w:hAnsi="Times New Roman"/>
          <w:sz w:val="24"/>
          <w:szCs w:val="24"/>
        </w:rPr>
        <w:t xml:space="preserve">, General Manager of Defendant California HOA Solutions LLC, the Association’s property management company. In that communication, Plaintiff specifically stated that the ceiling leakage “has gotten much worse over the year” and that “</w:t>
      </w:r>
      <w:r>
        <w:rPr>
          <w:rFonts w:ascii="Times New Roman" w:cs="Times New Roman" w:eastAsia="Times New Roman" w:hAnsi="Times New Roman"/>
          <w:b/>
          <w:bCs/>
          <w:sz w:val="24"/>
          <w:szCs w:val="24"/>
        </w:rPr>
        <w:t xml:space="preserve">mold has built up and is becoming a health hazard.</w:t>
      </w:r>
      <w:r>
        <w:rPr>
          <w:rFonts w:ascii="Times New Roman" w:cs="Times New Roman" w:eastAsia="Times New Roman" w:hAnsi="Times New Roman"/>
          <w:sz w:val="24"/>
          <w:szCs w:val="24"/>
        </w:rPr>
        <w:t xml:space="preserve">” Plaintiff requested that the damaged drywall with mold be removed and new drywall installed. No action was taken in response.</w:t>
      </w:r>
    </w:p>
    <w:p>
      <w:pPr>
        <w:spacing w:after="200" w:line="480" w:lineRule="auto"/>
        <w:ind w:left="720" w:hanging="720"/>
        <w:jc w:val="both"/>
      </w:pPr>
      <w:r>
        <w:rPr>
          <w:rFonts w:ascii="Times New Roman" w:cs="Times New Roman" w:eastAsia="Times New Roman" w:hAnsi="Times New Roman"/>
          <w:sz w:val="24"/>
          <w:szCs w:val="24"/>
        </w:rPr>
        <w:t>25. On information and belief, the Association’s Board of Directors was aware of the leaking roof and water intrusion affecting multiple units prior to Plaintiff’s October 14, 2025 maintenance request, as evidenced by the Association’s decision to propose a special assessment for roof repair that was subsequently put to a membership vote.</w:t>
      </w:r>
    </w:p>
    <w:p>
      <w:pPr>
        <w:spacing w:after="200" w:line="480" w:lineRule="auto"/>
        <w:ind w:left="720" w:hanging="720"/>
        <w:jc w:val="both"/>
      </w:pPr>
      <w:r>
        <w:rPr>
          <w:rFonts w:ascii="Times New Roman" w:cs="Times New Roman" w:eastAsia="Times New Roman" w:hAnsi="Times New Roman"/>
          <w:sz w:val="24"/>
          <w:szCs w:val="24"/>
        </w:rPr>
        <w:t>26. The Association’s membership voted 20 to 9 against a special assessment to fund roof repair. The 20 owners whose units are not affected by the leaking roof outvoted the 9 owners whose units are affected.</w:t>
      </w:r>
    </w:p>
    <w:p>
      <w:pPr>
        <w:spacing w:after="200" w:line="480" w:lineRule="auto"/>
        <w:ind w:left="720" w:hanging="720"/>
        <w:jc w:val="both"/>
      </w:pPr>
      <w:r>
        <w:rPr>
          <w:rFonts w:ascii="Times New Roman" w:cs="Times New Roman" w:eastAsia="Times New Roman" w:hAnsi="Times New Roman"/>
          <w:sz w:val="24"/>
          <w:szCs w:val="24"/>
        </w:rPr>
        <w:t>27. The failed membership vote does not extinguish or diminish the Association’s mandatory duty to maintain the roof under Civil Code Section 4775 and Article III, Section 6(A) of the CC&amp;Rs.</w:t>
      </w:r>
    </w:p>
    <w:p>
      <w:pPr>
        <w:spacing w:before="300" w:after="200" w:line="480" w:lineRule="auto"/>
        <w:jc w:val="left"/>
        <w:keepNext/>
      </w:pPr>
      <w:r>
        <w:rPr>
          <w:rFonts w:ascii="Times New Roman" w:cs="Times New Roman" w:eastAsia="Times New Roman" w:hAnsi="Times New Roman"/>
          <w:b/>
          <w:bCs/>
          <w:i/>
          <w:iCs/>
          <w:sz w:val="24"/>
          <w:szCs w:val="24"/>
          <w:u w:val="single"/>
        </w:rPr>
        <w:t xml:space="preserve">SB 900 and Emergency Assessment Authority</w:t>
      </w:r>
    </w:p>
    <w:p>
      <w:pPr>
        <w:spacing w:after="200" w:line="480" w:lineRule="auto"/>
        <w:ind w:left="720" w:hanging="720"/>
        <w:jc w:val="both"/>
      </w:pPr>
      <w:r>
        <w:rPr>
          <w:rFonts w:ascii="Times New Roman" w:cs="Times New Roman" w:eastAsia="Times New Roman" w:hAnsi="Times New Roman"/>
          <w:sz w:val="24"/>
          <w:szCs w:val="24"/>
        </w:rPr>
        <w:t>28. Effective January 1, 2025, Senate Bill 900 amended Civil Code Section 5610(b) to authorize emergency assessments — without any member vote and with no dollar cap — when an extraordinary expense is necessary to “operate, repair, or maintain” the common interest development where a threat to personal “health or safety or another hazardous condition or circumstance” on the property is discovered. The prior version of the statute covered only threats to “personal safety.”</w:t>
      </w:r>
    </w:p>
    <w:p>
      <w:pPr>
        <w:spacing w:after="200" w:line="480" w:lineRule="auto"/>
        <w:ind w:left="720" w:hanging="720"/>
        <w:jc w:val="both"/>
      </w:pPr>
      <w:r>
        <w:rPr>
          <w:rFonts w:ascii="Times New Roman" w:cs="Times New Roman" w:eastAsia="Times New Roman" w:hAnsi="Times New Roman"/>
          <w:sz w:val="24"/>
          <w:szCs w:val="24"/>
        </w:rPr>
        <w:t>29. Confirmed mold contamination at approximately three times outdoor baseline levels, documented by an accredited laboratory, caused by a leaking roof that the Association is obligated to maintain, and which has rendered at least one unit uninhabitable and forced the departure of a tenant, constitutes a “threat to personal health” and a “hazardous condition or circumstance” under amended Section 5610(b).</w:t>
      </w:r>
    </w:p>
    <w:p>
      <w:pPr>
        <w:spacing w:after="200" w:line="480" w:lineRule="auto"/>
        <w:ind w:left="720" w:hanging="720"/>
        <w:jc w:val="both"/>
      </w:pPr>
      <w:r>
        <w:rPr>
          <w:rFonts w:ascii="Times New Roman" w:cs="Times New Roman" w:eastAsia="Times New Roman" w:hAnsi="Times New Roman"/>
          <w:sz w:val="24"/>
          <w:szCs w:val="24"/>
        </w:rPr>
        <w:t>30. Despite having both the authority and the duty to levy an emergency assessment under Section 5610(b) to fund the roof repair, the Board of Directors failed and refused to exercise this authority. This failure constitutes evidence of bad faith and breach of fiduciary duty.</w:t>
      </w:r>
    </w:p>
    <w:p>
      <w:pPr>
        <w:spacing w:before="300" w:after="200" w:line="480" w:lineRule="auto"/>
        <w:jc w:val="left"/>
        <w:keepNext/>
      </w:pPr>
      <w:r>
        <w:rPr>
          <w:rFonts w:ascii="Times New Roman" w:cs="Times New Roman" w:eastAsia="Times New Roman" w:hAnsi="Times New Roman"/>
          <w:b/>
          <w:bCs/>
          <w:i/>
          <w:iCs/>
          <w:sz w:val="24"/>
          <w:szCs w:val="24"/>
          <w:u w:val="single"/>
        </w:rPr>
        <w:t xml:space="preserve">Damages Suffered by Plaintiff</w:t>
      </w:r>
    </w:p>
    <w:p>
      <w:pPr>
        <w:spacing w:after="200" w:line="480" w:lineRule="auto"/>
        <w:ind w:left="720" w:hanging="720"/>
        <w:jc w:val="both"/>
      </w:pPr>
      <w:r>
        <w:rPr>
          <w:rFonts w:ascii="Times New Roman" w:cs="Times New Roman" w:eastAsia="Times New Roman" w:hAnsi="Times New Roman"/>
          <w:sz w:val="24"/>
          <w:szCs w:val="24"/>
        </w:rPr>
        <w:t>31. As a direct and proximate result of Defendants’ acts and omissions, Plaintiff’s tenant vacated Unit 208 because the unit is uninhabitable due to mold contamination. Plaintiff has been unable to rent the unit to a new tenant and has lost rental income of approximately $[AMOUNT] per month since [TENANT DEPARTURE DATE].</w:t>
      </w:r>
    </w:p>
    <w:p>
      <w:pPr>
        <w:spacing w:after="200" w:line="480" w:lineRule="auto"/>
        <w:ind w:left="720" w:hanging="720"/>
        <w:jc w:val="both"/>
      </w:pPr>
      <w:r>
        <w:rPr>
          <w:rFonts w:ascii="Times New Roman" w:cs="Times New Roman" w:eastAsia="Times New Roman" w:hAnsi="Times New Roman"/>
          <w:sz w:val="24"/>
          <w:szCs w:val="24"/>
        </w:rPr>
        <w:t>32. Plaintiff continues to pay mortgage payments of approximately $[AMOUNT] per month on the unit with no rental income to offset these payments.</w:t>
      </w:r>
    </w:p>
    <w:p>
      <w:pPr>
        <w:spacing w:after="200" w:line="480" w:lineRule="auto"/>
        <w:ind w:left="720" w:hanging="720"/>
        <w:jc w:val="both"/>
      </w:pPr>
      <w:r>
        <w:rPr>
          <w:rFonts w:ascii="Times New Roman" w:cs="Times New Roman" w:eastAsia="Times New Roman" w:hAnsi="Times New Roman"/>
          <w:sz w:val="24"/>
          <w:szCs w:val="24"/>
        </w:rPr>
        <w:t>33. Plaintiff has incurred out-of-pocket costs for mold testing, the remediation estimate, and related expenses.</w:t>
      </w:r>
    </w:p>
    <w:p>
      <w:pPr>
        <w:spacing w:after="200" w:line="480" w:lineRule="auto"/>
        <w:ind w:left="720" w:hanging="720"/>
        <w:jc w:val="both"/>
      </w:pPr>
      <w:r>
        <w:rPr>
          <w:rFonts w:ascii="Times New Roman" w:cs="Times New Roman" w:eastAsia="Times New Roman" w:hAnsi="Times New Roman"/>
          <w:sz w:val="24"/>
          <w:szCs w:val="24"/>
        </w:rPr>
        <w:t>34. The interior of Unit 208 has suffered extensive physical damage including damage to ceilings in six rooms, the east wall in the master bedroom, the HVAC closet and insulation, and personal property.</w:t>
      </w:r>
    </w:p>
    <w:p>
      <w:pPr>
        <w:spacing w:after="200" w:line="480" w:lineRule="auto"/>
        <w:ind w:left="720" w:hanging="720"/>
        <w:jc w:val="both"/>
      </w:pPr>
      <w:r>
        <w:rPr>
          <w:rFonts w:ascii="Times New Roman" w:cs="Times New Roman" w:eastAsia="Times New Roman" w:hAnsi="Times New Roman"/>
          <w:sz w:val="24"/>
          <w:szCs w:val="24"/>
        </w:rPr>
        <w:t>35. Plaintiff has suffered emotional distress as a result of being unable to use his property, losing rental income, facing mounting financial losses, and knowing that his property contains confirmed health-hazardous mold contamination that cannot be remediated until the Association fulfills its duty to repair the roof.</w:t>
      </w:r>
    </w:p>
    <w:p>
      <w:pPr>
        <w:spacing w:before="360" w:after="240" w:line="480" w:lineRule="auto"/>
        <w:jc w:val="center"/>
        <w:keepNext/>
      </w:pPr>
      <w:r>
        <w:rPr>
          <w:rFonts w:ascii="Times New Roman" w:cs="Times New Roman" w:eastAsia="Times New Roman" w:hAnsi="Times New Roman"/>
          <w:b/>
          <w:bCs/>
          <w:sz w:val="28"/>
          <w:szCs w:val="28"/>
          <w:u w:val="single"/>
        </w:rPr>
        <w:t xml:space="preserve">ADR COMPLIANCE</w:t>
      </w:r>
    </w:p>
    <w:p>
      <w:pPr>
        <w:spacing w:after="200" w:line="480" w:lineRule="auto"/>
        <w:ind w:left="720" w:hanging="720"/>
        <w:jc w:val="both"/>
      </w:pPr>
      <w:r>
        <w:rPr>
          <w:rFonts w:ascii="Times New Roman" w:cs="Times New Roman" w:eastAsia="Times New Roman" w:hAnsi="Times New Roman"/>
          <w:sz w:val="24"/>
          <w:szCs w:val="24"/>
        </w:rPr>
        <w:t>36. Plaintiff has complied with the pre-litigation dispute resolution requirements of the Davis-Stirling Act. On or about March __, 2026, Plaintiff served a formal demand letter including a Request for Internal Dispute Resolution pursuant to Civil Code Section 5910 on the Association, requesting a meeting to resolve the dispute. Plaintiff simultaneously offered Alternative Dispute Resolution pursuant to Civil Code Section 5935. As of the date of filing this Complaint, the Association has failed to accept Plaintiff’s IDR request and has failed to agree to participate in ADR, thereby satisfying Plaintiff’s obligations under Civil Code Section 5930. To the extent any further compliance is required, Plaintiff reserves the right to supplement this allegation.</w:t>
      </w:r>
    </w:p>
    <w:p>
      <w:pPr>
        <w:spacing w:after="200" w:line="480" w:lineRule="auto"/>
        <w:ind w:left="720" w:hanging="720"/>
        <w:jc w:val="both"/>
      </w:pPr>
      <w:r>
        <w:rPr>
          <w:rFonts w:ascii="Times New Roman" w:cs="Times New Roman" w:eastAsia="Times New Roman" w:hAnsi="Times New Roman"/>
          <w:sz w:val="24"/>
          <w:szCs w:val="24"/>
        </w:rPr>
        <w:t>37. To the extent any claims herein constitute an action for preliminary or temporary injunctive relief, such claims are exempt from the ADR prerequisite under Civil Code Section 5950(a)(3).</w:t>
      </w:r>
    </w:p>
    <w:p>
      <w:pPr>
        <w:spacing w:before="360" w:after="240" w:line="480" w:lineRule="auto"/>
        <w:jc w:val="center"/>
        <w:keepNext/>
      </w:pPr>
      <w:r>
        <w:rPr>
          <w:rFonts w:ascii="Times New Roman" w:cs="Times New Roman" w:eastAsia="Times New Roman" w:hAnsi="Times New Roman"/>
          <w:b/>
          <w:bCs/>
          <w:sz w:val="28"/>
          <w:szCs w:val="28"/>
          <w:u w:val="single"/>
        </w:rPr>
        <w:t xml:space="preserve">FIRST CAUSE OF ACTION</w:t>
      </w:r>
    </w:p>
    <w:p>
      <w:pPr>
        <w:spacing w:after="60" w:before="0" w:line="480" w:lineRule="auto"/>
        <w:jc w:val="center"/>
        <w:keepNext/>
      </w:pPr>
      <w:r>
        <w:rPr>
          <w:rFonts w:ascii="Times New Roman" w:cs="Times New Roman" w:eastAsia="Times New Roman" w:hAnsi="Times New Roman"/>
          <w:b/>
          <w:bCs/>
          <w:sz w:val="24"/>
          <w:szCs w:val="24"/>
        </w:rPr>
        <w:t xml:space="preserve">Breach of CC&amp;Rs / Enforcement of Governing Documents</w:t>
      </w:r>
    </w:p>
    <w:p>
      <w:pPr>
        <w:spacing w:after="200" w:before="0" w:line="480" w:lineRule="auto"/>
        <w:jc w:val="center"/>
      </w:pPr>
      <w:r>
        <w:rPr>
          <w:rFonts w:ascii="Times New Roman" w:cs="Times New Roman" w:eastAsia="Times New Roman" w:hAnsi="Times New Roman"/>
          <w:b w:val="false"/>
          <w:bCs w:val="false"/>
          <w:i w:val="false"/>
          <w:iCs w:val="false"/>
          <w:sz w:val="20"/>
          <w:szCs w:val="20"/>
        </w:rPr>
        <w:t xml:space="preserve">(Against Defendant Association)</w:t>
      </w:r>
    </w:p>
    <w:p>
      <w:pPr>
        <w:spacing w:after="200" w:line="480" w:lineRule="auto"/>
        <w:ind w:left="720" w:hanging="720"/>
        <w:jc w:val="both"/>
      </w:pPr>
      <w:r>
        <w:rPr>
          <w:rFonts w:ascii="Times New Roman" w:cs="Times New Roman" w:eastAsia="Times New Roman" w:hAnsi="Times New Roman"/>
          <w:sz w:val="24"/>
          <w:szCs w:val="24"/>
        </w:rPr>
        <w:t>38. Plaintiff incorporates by reference each and every allegation set forth in the preceding paragraphs as though fully set forth herein.</w:t>
      </w:r>
    </w:p>
    <w:p>
      <w:pPr>
        <w:spacing w:after="200" w:line="480" w:lineRule="auto"/>
        <w:ind w:left="720" w:hanging="720"/>
        <w:jc w:val="both"/>
      </w:pPr>
      <w:r>
        <w:rPr>
          <w:rFonts w:ascii="Times New Roman" w:cs="Times New Roman" w:eastAsia="Times New Roman" w:hAnsi="Times New Roman"/>
          <w:sz w:val="24"/>
          <w:szCs w:val="24"/>
        </w:rPr>
        <w:t>39. The CC&amp;Rs, as equitable servitudes enforceable under Civil Code Section 5975(a), impose a mandatory duty on the Association to maintain, repair, and replace the common areas, including the roof.</w:t>
      </w:r>
    </w:p>
    <w:p>
      <w:pPr>
        <w:spacing w:after="200" w:line="480" w:lineRule="auto"/>
        <w:ind w:left="720" w:hanging="720"/>
        <w:jc w:val="both"/>
      </w:pPr>
      <w:r>
        <w:rPr>
          <w:rFonts w:ascii="Times New Roman" w:cs="Times New Roman" w:eastAsia="Times New Roman" w:hAnsi="Times New Roman"/>
          <w:sz w:val="24"/>
          <w:szCs w:val="24"/>
        </w:rPr>
        <w:t>40. The Association has breached this duty by failing and refusing to repair the leaking roof, despite actual knowledge of the roof’s defective condition, documented mold contamination, a written maintenance request, and the availability of emergency assessment authority under Civil Code Section 5610(b).</w:t>
      </w:r>
    </w:p>
    <w:p>
      <w:pPr>
        <w:spacing w:after="200" w:line="480" w:lineRule="auto"/>
        <w:ind w:left="720" w:hanging="720"/>
        <w:jc w:val="both"/>
      </w:pPr>
      <w:r>
        <w:rPr>
          <w:rFonts w:ascii="Times New Roman" w:cs="Times New Roman" w:eastAsia="Times New Roman" w:hAnsi="Times New Roman"/>
          <w:sz w:val="24"/>
          <w:szCs w:val="24"/>
        </w:rPr>
        <w:t>41. This breach is continuing. Each day the Association fails to repair the roof constitutes a new and independent breach.</w:t>
      </w:r>
    </w:p>
    <w:p>
      <w:pPr>
        <w:spacing w:after="200" w:line="480" w:lineRule="auto"/>
        <w:ind w:left="720" w:hanging="720"/>
        <w:jc w:val="both"/>
      </w:pPr>
      <w:r>
        <w:rPr>
          <w:rFonts w:ascii="Times New Roman" w:cs="Times New Roman" w:eastAsia="Times New Roman" w:hAnsi="Times New Roman"/>
          <w:sz w:val="24"/>
          <w:szCs w:val="24"/>
        </w:rPr>
        <w:t>42. As a direct and proximate result of the Association’s breach, Plaintiff has suffered and continues to suffer damages including but not limited to the cost of mold remediation, reconstruction costs, lost rental income, diminished property value, personal property damage, emotional distress, and loss of use.</w:t>
      </w:r>
    </w:p>
    <w:p>
      <w:pPr>
        <w:spacing w:after="200" w:line="480" w:lineRule="auto"/>
        <w:ind w:left="720" w:hanging="720"/>
        <w:jc w:val="both"/>
      </w:pPr>
      <w:r>
        <w:rPr>
          <w:rFonts w:ascii="Times New Roman" w:cs="Times New Roman" w:eastAsia="Times New Roman" w:hAnsi="Times New Roman"/>
          <w:sz w:val="24"/>
          <w:szCs w:val="24"/>
        </w:rPr>
        <w:t>43. Plaintiff is entitled to recover reasonable attorney’s fees and costs as the prevailing party pursuant to Civil Code Section 5975(c).</w:t>
      </w:r>
    </w:p>
    <w:p>
      <w:pPr>
        <w:spacing w:before="360" w:after="240" w:line="480" w:lineRule="auto"/>
        <w:jc w:val="center"/>
        <w:keepNext/>
      </w:pPr>
      <w:r>
        <w:rPr>
          <w:rFonts w:ascii="Times New Roman" w:cs="Times New Roman" w:eastAsia="Times New Roman" w:hAnsi="Times New Roman"/>
          <w:b/>
          <w:bCs/>
          <w:sz w:val="28"/>
          <w:szCs w:val="28"/>
          <w:u w:val="single"/>
        </w:rPr>
        <w:t xml:space="preserve">SECOND CAUSE OF ACTION</w:t>
      </w:r>
    </w:p>
    <w:p>
      <w:pPr>
        <w:spacing w:after="60" w:before="0" w:line="480" w:lineRule="auto"/>
        <w:jc w:val="center"/>
        <w:keepNext/>
      </w:pPr>
      <w:r>
        <w:rPr>
          <w:rFonts w:ascii="Times New Roman" w:cs="Times New Roman" w:eastAsia="Times New Roman" w:hAnsi="Times New Roman"/>
          <w:b/>
          <w:bCs/>
          <w:sz w:val="24"/>
          <w:szCs w:val="24"/>
        </w:rPr>
        <w:t xml:space="preserve">Breach of Fiduciary Duty</w:t>
      </w:r>
    </w:p>
    <w:p>
      <w:pPr>
        <w:spacing w:after="200" w:before="0" w:line="480" w:lineRule="auto"/>
        <w:jc w:val="center"/>
      </w:pPr>
      <w:r>
        <w:rPr>
          <w:rFonts w:ascii="Times New Roman" w:cs="Times New Roman" w:eastAsia="Times New Roman" w:hAnsi="Times New Roman"/>
          <w:b w:val="false"/>
          <w:bCs w:val="false"/>
          <w:i w:val="false"/>
          <w:iCs w:val="false"/>
          <w:sz w:val="20"/>
          <w:szCs w:val="20"/>
        </w:rPr>
        <w:t xml:space="preserve">(Against Defendant Association and Does 1-3)</w:t>
      </w:r>
    </w:p>
    <w:p>
      <w:pPr>
        <w:spacing w:after="200" w:line="480" w:lineRule="auto"/>
        <w:ind w:left="720" w:hanging="720"/>
        <w:jc w:val="both"/>
      </w:pPr>
      <w:r>
        <w:rPr>
          <w:rFonts w:ascii="Times New Roman" w:cs="Times New Roman" w:eastAsia="Times New Roman" w:hAnsi="Times New Roman"/>
          <w:sz w:val="24"/>
          <w:szCs w:val="24"/>
        </w:rPr>
        <w:t>44. Plaintiff incorporates by reference each and every allegation set forth in the preceding paragraphs as though fully set forth herein.</w:t>
      </w:r>
    </w:p>
    <w:p>
      <w:pPr>
        <w:spacing w:after="200" w:line="480" w:lineRule="auto"/>
        <w:ind w:left="720" w:hanging="720"/>
        <w:jc w:val="both"/>
      </w:pPr>
      <w:r>
        <w:rPr>
          <w:rFonts w:ascii="Times New Roman" w:cs="Times New Roman" w:eastAsia="Times New Roman" w:hAnsi="Times New Roman"/>
          <w:sz w:val="24"/>
          <w:szCs w:val="24"/>
        </w:rPr>
        <w:t>45. The Association’s Board of Directors owes fiduciary duties of care and loyalty to the Association and its members, including Plaintiff, under Corporations Code Section 7231 and the common law.</w:t>
      </w:r>
    </w:p>
    <w:p>
      <w:pPr>
        <w:spacing w:after="200" w:line="480" w:lineRule="auto"/>
        <w:ind w:left="720" w:hanging="720"/>
        <w:jc w:val="both"/>
      </w:pPr>
      <w:r>
        <w:rPr>
          <w:rFonts w:ascii="Times New Roman" w:cs="Times New Roman" w:eastAsia="Times New Roman" w:hAnsi="Times New Roman"/>
          <w:sz w:val="24"/>
          <w:szCs w:val="24"/>
        </w:rPr>
        <w:t>46. The Board breached its fiduciary duties by: (a) failing to maintain the roof, a common area component, in violation of its mandatory statutory and contractual obligations; (b) failing to exercise its emergency assessment authority under Civil Code Section 5610(b) despite documented evidence of a health hazard; (c) failing to adequately fund reserves for foreseeable roof repair or replacement; (d) allowing a membership vote to override a mandatory legal obligation; and (e) failing to investigate and respond to Plaintiff’s October 14, 2025 maintenance request documenting a “health hazard.”</w:t>
      </w:r>
    </w:p>
    <w:p>
      <w:pPr>
        <w:spacing w:after="200" w:line="480" w:lineRule="auto"/>
        <w:ind w:left="720" w:hanging="720"/>
        <w:jc w:val="both"/>
      </w:pPr>
      <w:r>
        <w:rPr>
          <w:rFonts w:ascii="Times New Roman" w:cs="Times New Roman" w:eastAsia="Times New Roman" w:hAnsi="Times New Roman"/>
          <w:sz w:val="24"/>
          <w:szCs w:val="24"/>
        </w:rPr>
        <w:t xml:space="preserve">47. The business judgment rule does not protect the Board’s conduct. </w:t>
      </w:r>
      <w:r>
        <w:rPr>
          <w:rFonts w:ascii="Times New Roman" w:cs="Times New Roman" w:eastAsia="Times New Roman" w:hAnsi="Times New Roman"/>
          <w:i/>
          <w:iCs/>
          <w:sz w:val="24"/>
          <w:szCs w:val="24"/>
        </w:rPr>
        <w:t xml:space="preserve">Lamden v. La Jolla Shores Clubdominium HOA</w:t>
      </w:r>
      <w:r>
        <w:rPr>
          <w:rFonts w:ascii="Times New Roman" w:cs="Times New Roman" w:eastAsia="Times New Roman" w:hAnsi="Times New Roman"/>
          <w:sz w:val="24"/>
          <w:szCs w:val="24"/>
        </w:rPr>
        <w:t xml:space="preserve"> (1999) 21 Cal.4th 249 provides deference only for discretionary decisions among reasonable alternatives, not for outright refusal to perform a mandatory statutory duty. </w:t>
      </w:r>
      <w:r>
        <w:rPr>
          <w:rFonts w:ascii="Times New Roman" w:cs="Times New Roman" w:eastAsia="Times New Roman" w:hAnsi="Times New Roman"/>
          <w:i/>
          <w:iCs/>
          <w:sz w:val="24"/>
          <w:szCs w:val="24"/>
        </w:rPr>
        <w:t xml:space="preserve">Ridley v. Rancho Palma Grande Homeowners Assn.</w:t>
      </w:r>
      <w:r>
        <w:rPr>
          <w:rFonts w:ascii="Times New Roman" w:cs="Times New Roman" w:eastAsia="Times New Roman" w:hAnsi="Times New Roman"/>
          <w:sz w:val="24"/>
          <w:szCs w:val="24"/>
        </w:rPr>
        <w:t xml:space="preserve"> (Cal. Ct. App. 2025) held that bad faith and failure to investigate strip all deference protections.</w:t>
      </w:r>
    </w:p>
    <w:p>
      <w:pPr>
        <w:spacing w:after="200" w:line="480" w:lineRule="auto"/>
        <w:ind w:left="720" w:hanging="720"/>
        <w:jc w:val="both"/>
      </w:pPr>
      <w:r>
        <w:rPr>
          <w:rFonts w:ascii="Times New Roman" w:cs="Times New Roman" w:eastAsia="Times New Roman" w:hAnsi="Times New Roman"/>
          <w:sz w:val="24"/>
          <w:szCs w:val="24"/>
        </w:rPr>
        <w:t>48. As a direct and proximate result of the Board’s breach of fiduciary duty, Plaintiff has suffered damages as described herein.</w:t>
      </w:r>
    </w:p>
    <w:p>
      <w:pPr>
        <w:spacing w:after="200" w:line="480" w:lineRule="auto"/>
        <w:ind w:left="720" w:hanging="720"/>
        <w:jc w:val="both"/>
      </w:pPr>
      <w:r>
        <w:rPr>
          <w:rFonts w:ascii="Times New Roman" w:cs="Times New Roman" w:eastAsia="Times New Roman" w:hAnsi="Times New Roman"/>
          <w:sz w:val="24"/>
          <w:szCs w:val="24"/>
        </w:rPr>
        <w:t>49. The Board’s conduct was willful, oppressive, and in conscious disregard of Plaintiff’s rights, entitling Plaintiff to punitive damages pursuant to Civil Code Section 3294.</w:t>
      </w:r>
    </w:p>
    <w:p>
      <w:pPr>
        <w:spacing w:before="360" w:after="240" w:line="480" w:lineRule="auto"/>
        <w:jc w:val="center"/>
        <w:keepNext/>
      </w:pPr>
      <w:r>
        <w:rPr>
          <w:rFonts w:ascii="Times New Roman" w:cs="Times New Roman" w:eastAsia="Times New Roman" w:hAnsi="Times New Roman"/>
          <w:b/>
          <w:bCs/>
          <w:sz w:val="28"/>
          <w:szCs w:val="28"/>
          <w:u w:val="single"/>
        </w:rPr>
        <w:t xml:space="preserve">THIRD CAUSE OF ACTION</w:t>
      </w:r>
    </w:p>
    <w:p>
      <w:pPr>
        <w:spacing w:after="60" w:before="0" w:line="480" w:lineRule="auto"/>
        <w:jc w:val="center"/>
        <w:keepNext/>
      </w:pPr>
      <w:r>
        <w:rPr>
          <w:rFonts w:ascii="Times New Roman" w:cs="Times New Roman" w:eastAsia="Times New Roman" w:hAnsi="Times New Roman"/>
          <w:b/>
          <w:bCs/>
          <w:sz w:val="24"/>
          <w:szCs w:val="24"/>
        </w:rPr>
        <w:t xml:space="preserve">Negligence</w:t>
      </w:r>
    </w:p>
    <w:p>
      <w:pPr>
        <w:spacing w:after="200" w:before="0" w:line="480" w:lineRule="auto"/>
        <w:jc w:val="center"/>
      </w:pPr>
      <w:r>
        <w:rPr>
          <w:rFonts w:ascii="Times New Roman" w:cs="Times New Roman" w:eastAsia="Times New Roman" w:hAnsi="Times New Roman"/>
          <w:b w:val="false"/>
          <w:bCs w:val="false"/>
          <w:i w:val="false"/>
          <w:iCs w:val="false"/>
          <w:sz w:val="20"/>
          <w:szCs w:val="20"/>
        </w:rPr>
        <w:t xml:space="preserve">(Against All Defendants)</w:t>
      </w:r>
    </w:p>
    <w:p>
      <w:pPr>
        <w:spacing w:after="200" w:line="480" w:lineRule="auto"/>
        <w:ind w:left="720" w:hanging="720"/>
        <w:jc w:val="both"/>
      </w:pPr>
      <w:r>
        <w:rPr>
          <w:rFonts w:ascii="Times New Roman" w:cs="Times New Roman" w:eastAsia="Times New Roman" w:hAnsi="Times New Roman"/>
          <w:sz w:val="24"/>
          <w:szCs w:val="24"/>
        </w:rPr>
        <w:t>50. Plaintiff incorporates by reference each and every allegation set forth in the preceding paragraphs as though fully set forth herein.</w:t>
      </w:r>
    </w:p>
    <w:p>
      <w:pPr>
        <w:spacing w:after="200" w:line="480" w:lineRule="auto"/>
        <w:ind w:left="720" w:hanging="720"/>
        <w:jc w:val="both"/>
      </w:pPr>
      <w:r>
        <w:rPr>
          <w:rFonts w:ascii="Times New Roman" w:cs="Times New Roman" w:eastAsia="Times New Roman" w:hAnsi="Times New Roman"/>
          <w:sz w:val="24"/>
          <w:szCs w:val="24"/>
        </w:rPr>
        <w:t xml:space="preserve">51. Each Defendant owed Plaintiff a duty of care. The Association owed a landlord-like duty regarding the safety of common areas under </w:t>
      </w:r>
      <w:r>
        <w:rPr>
          <w:rFonts w:ascii="Times New Roman" w:cs="Times New Roman" w:eastAsia="Times New Roman" w:hAnsi="Times New Roman"/>
          <w:i/>
          <w:iCs/>
          <w:sz w:val="24"/>
          <w:szCs w:val="24"/>
        </w:rPr>
        <w:t xml:space="preserve">Frances T. v. Village Green Owners Assn.</w:t>
      </w:r>
      <w:r>
        <w:rPr>
          <w:rFonts w:ascii="Times New Roman" w:cs="Times New Roman" w:eastAsia="Times New Roman" w:hAnsi="Times New Roman"/>
          <w:sz w:val="24"/>
          <w:szCs w:val="24"/>
        </w:rPr>
        <w:t xml:space="preserve"> (1986) 42 Cal.3d 490. Defendant California HOA Solutions LLC owed a duty of care as the property management company responsible for receiving and responding to maintenance requests and reporting hazardous conditions to the Board. Defendant Joshua Ochoa owed a personal duty of care under Civil Code Section 1714 as the individual who received actual notice of the health hazard.</w:t>
      </w:r>
    </w:p>
    <w:p>
      <w:pPr>
        <w:spacing w:after="200" w:line="480" w:lineRule="auto"/>
        <w:ind w:left="720" w:hanging="720"/>
        <w:jc w:val="both"/>
      </w:pPr>
      <w:r>
        <w:rPr>
          <w:rFonts w:ascii="Times New Roman" w:cs="Times New Roman" w:eastAsia="Times New Roman" w:hAnsi="Times New Roman"/>
          <w:sz w:val="24"/>
          <w:szCs w:val="24"/>
        </w:rPr>
        <w:t>52. Each Defendant breached its respective duty of care by failing to take any action in response to documented evidence of chronic water intrusion, ceiling damage, and mold contamination constituting a health hazard.</w:t>
      </w:r>
    </w:p>
    <w:p>
      <w:pPr>
        <w:spacing w:after="200" w:line="480" w:lineRule="auto"/>
        <w:ind w:left="720" w:hanging="720"/>
        <w:jc w:val="both"/>
      </w:pPr>
      <w:r>
        <w:rPr>
          <w:rFonts w:ascii="Times New Roman" w:cs="Times New Roman" w:eastAsia="Times New Roman" w:hAnsi="Times New Roman"/>
          <w:sz w:val="24"/>
          <w:szCs w:val="24"/>
        </w:rPr>
        <w:t>53. As a direct and proximate result of Defendants’ negligence, Plaintiff has suffered damages as described herein, including property damage, lost rental income, loss of use, emotional distress, and exposure to health-hazardous mold.</w:t>
      </w:r>
    </w:p>
    <w:p>
      <w:pPr>
        <w:spacing w:before="360" w:after="240" w:line="480" w:lineRule="auto"/>
        <w:jc w:val="center"/>
        <w:keepNext/>
      </w:pPr>
      <w:r>
        <w:rPr>
          <w:rFonts w:ascii="Times New Roman" w:cs="Times New Roman" w:eastAsia="Times New Roman" w:hAnsi="Times New Roman"/>
          <w:b/>
          <w:bCs/>
          <w:sz w:val="28"/>
          <w:szCs w:val="28"/>
          <w:u w:val="single"/>
        </w:rPr>
        <w:t xml:space="preserve">FOURTH CAUSE OF ACTION</w:t>
      </w:r>
    </w:p>
    <w:p>
      <w:pPr>
        <w:spacing w:after="60" w:before="0" w:line="480" w:lineRule="auto"/>
        <w:jc w:val="center"/>
        <w:keepNext/>
      </w:pPr>
      <w:r>
        <w:rPr>
          <w:rFonts w:ascii="Times New Roman" w:cs="Times New Roman" w:eastAsia="Times New Roman" w:hAnsi="Times New Roman"/>
          <w:b/>
          <w:bCs/>
          <w:sz w:val="24"/>
          <w:szCs w:val="24"/>
        </w:rPr>
        <w:t xml:space="preserve">Private Nuisance (Civil Code § 3479)</w:t>
      </w:r>
    </w:p>
    <w:p>
      <w:pPr>
        <w:spacing w:after="200" w:before="0" w:line="480" w:lineRule="auto"/>
        <w:jc w:val="center"/>
      </w:pPr>
      <w:r>
        <w:rPr>
          <w:rFonts w:ascii="Times New Roman" w:cs="Times New Roman" w:eastAsia="Times New Roman" w:hAnsi="Times New Roman"/>
          <w:b w:val="false"/>
          <w:bCs w:val="false"/>
          <w:i w:val="false"/>
          <w:iCs w:val="false"/>
          <w:sz w:val="20"/>
          <w:szCs w:val="20"/>
        </w:rPr>
        <w:t xml:space="preserve">(Against Defendant Association)</w:t>
      </w:r>
    </w:p>
    <w:p>
      <w:pPr>
        <w:spacing w:after="200" w:line="480" w:lineRule="auto"/>
        <w:ind w:left="720" w:hanging="720"/>
        <w:jc w:val="both"/>
      </w:pPr>
      <w:r>
        <w:rPr>
          <w:rFonts w:ascii="Times New Roman" w:cs="Times New Roman" w:eastAsia="Times New Roman" w:hAnsi="Times New Roman"/>
          <w:sz w:val="24"/>
          <w:szCs w:val="24"/>
        </w:rPr>
        <w:t>54. Plaintiff incorporates by reference each and every allegation set forth in the preceding paragraphs as though fully set forth herein.</w:t>
      </w:r>
    </w:p>
    <w:p>
      <w:pPr>
        <w:spacing w:after="200" w:line="480" w:lineRule="auto"/>
        <w:ind w:left="720" w:hanging="720"/>
        <w:jc w:val="both"/>
      </w:pPr>
      <w:r>
        <w:rPr>
          <w:rFonts w:ascii="Times New Roman" w:cs="Times New Roman" w:eastAsia="Times New Roman" w:hAnsi="Times New Roman"/>
          <w:sz w:val="24"/>
          <w:szCs w:val="24"/>
        </w:rPr>
        <w:t>55. The leaking roof and resulting mold contamination constitute a private nuisance as defined by Civil Code Section 3479 in that they are: (a) injurious to Plaintiff’s health; (b) indecent and offensive to the senses; and (c) an obstruction to the free use of Plaintiff’s property, rendering it uninhabitable.</w:t>
      </w:r>
    </w:p>
    <w:p>
      <w:pPr>
        <w:spacing w:after="200" w:line="480" w:lineRule="auto"/>
        <w:ind w:left="720" w:hanging="720"/>
        <w:jc w:val="both"/>
      </w:pPr>
      <w:r>
        <w:rPr>
          <w:rFonts w:ascii="Times New Roman" w:cs="Times New Roman" w:eastAsia="Times New Roman" w:hAnsi="Times New Roman"/>
          <w:sz w:val="24"/>
          <w:szCs w:val="24"/>
        </w:rPr>
        <w:t>56. This nuisance is continuing in nature. It can be abated by repairing the roof and remediating the mold. Each day of the nuisance’s continued existence constitutes a new and independently actionable wrong.</w:t>
      </w:r>
    </w:p>
    <w:p>
      <w:pPr>
        <w:spacing w:after="200" w:line="480" w:lineRule="auto"/>
        <w:ind w:left="720" w:hanging="720"/>
        <w:jc w:val="both"/>
      </w:pPr>
      <w:r>
        <w:rPr>
          <w:rFonts w:ascii="Times New Roman" w:cs="Times New Roman" w:eastAsia="Times New Roman" w:hAnsi="Times New Roman"/>
          <w:sz w:val="24"/>
          <w:szCs w:val="24"/>
        </w:rPr>
        <w:t>57. Plaintiff has suffered and continues to suffer damages as described herein.</w:t>
      </w:r>
    </w:p>
    <w:p>
      <w:pPr>
        <w:spacing w:before="360" w:after="240" w:line="480" w:lineRule="auto"/>
        <w:jc w:val="center"/>
        <w:keepNext/>
      </w:pPr>
      <w:r>
        <w:rPr>
          <w:rFonts w:ascii="Times New Roman" w:cs="Times New Roman" w:eastAsia="Times New Roman" w:hAnsi="Times New Roman"/>
          <w:b/>
          <w:bCs/>
          <w:sz w:val="28"/>
          <w:szCs w:val="28"/>
          <w:u w:val="single"/>
        </w:rPr>
        <w:t xml:space="preserve">FIFTH CAUSE OF ACTION</w:t>
      </w:r>
    </w:p>
    <w:p>
      <w:pPr>
        <w:spacing w:after="60" w:before="0" w:line="480" w:lineRule="auto"/>
        <w:jc w:val="center"/>
        <w:keepNext/>
      </w:pPr>
      <w:r>
        <w:rPr>
          <w:rFonts w:ascii="Times New Roman" w:cs="Times New Roman" w:eastAsia="Times New Roman" w:hAnsi="Times New Roman"/>
          <w:b/>
          <w:bCs/>
          <w:sz w:val="24"/>
          <w:szCs w:val="24"/>
        </w:rPr>
        <w:t xml:space="preserve">Public Nuisance (Civil Code §§ 3479, 3480)</w:t>
      </w:r>
    </w:p>
    <w:p>
      <w:pPr>
        <w:spacing w:after="200" w:before="0" w:line="480" w:lineRule="auto"/>
        <w:jc w:val="center"/>
      </w:pPr>
      <w:r>
        <w:rPr>
          <w:rFonts w:ascii="Times New Roman" w:cs="Times New Roman" w:eastAsia="Times New Roman" w:hAnsi="Times New Roman"/>
          <w:b w:val="false"/>
          <w:bCs w:val="false"/>
          <w:i w:val="false"/>
          <w:iCs w:val="false"/>
          <w:sz w:val="20"/>
          <w:szCs w:val="20"/>
        </w:rPr>
        <w:t xml:space="preserve">(Against Defendant Association)</w:t>
      </w:r>
    </w:p>
    <w:p>
      <w:pPr>
        <w:spacing w:after="200" w:line="480" w:lineRule="auto"/>
        <w:ind w:left="720" w:hanging="720"/>
        <w:jc w:val="both"/>
      </w:pPr>
      <w:r>
        <w:rPr>
          <w:rFonts w:ascii="Times New Roman" w:cs="Times New Roman" w:eastAsia="Times New Roman" w:hAnsi="Times New Roman"/>
          <w:sz w:val="24"/>
          <w:szCs w:val="24"/>
        </w:rPr>
        <w:t>58. Plaintiff incorporates by reference each and every allegation set forth in the preceding paragraphs as though fully set forth herein.</w:t>
      </w:r>
    </w:p>
    <w:p>
      <w:pPr>
        <w:spacing w:after="200" w:line="480" w:lineRule="auto"/>
        <w:ind w:left="720" w:hanging="720"/>
        <w:jc w:val="both"/>
      </w:pPr>
      <w:r>
        <w:rPr>
          <w:rFonts w:ascii="Times New Roman" w:cs="Times New Roman" w:eastAsia="Times New Roman" w:hAnsi="Times New Roman"/>
          <w:sz w:val="24"/>
          <w:szCs w:val="24"/>
        </w:rPr>
        <w:t>59. The leaking roof and resulting mold contamination constitute a public nuisance in that they affect a substantial number of residents simultaneously. On information and belief, at least 9 of the 29 units in the building are affected by the leaking roof and associated water intrusion.</w:t>
      </w:r>
    </w:p>
    <w:p>
      <w:pPr>
        <w:spacing w:after="200" w:line="480" w:lineRule="auto"/>
        <w:ind w:left="720" w:hanging="720"/>
        <w:jc w:val="both"/>
      </w:pPr>
      <w:r>
        <w:rPr>
          <w:rFonts w:ascii="Times New Roman" w:cs="Times New Roman" w:eastAsia="Times New Roman" w:hAnsi="Times New Roman"/>
          <w:sz w:val="24"/>
          <w:szCs w:val="24"/>
        </w:rPr>
        <w:t>60. Plaintiff has suffered special injury different in kind from that suffered by the general public, in that his unit has documented mold contamination at three times outdoor baseline levels, his tenant has vacated, and his unit is uninhabitable.</w:t>
      </w:r>
    </w:p>
    <w:p>
      <w:pPr>
        <w:spacing w:before="360" w:after="240" w:line="480" w:lineRule="auto"/>
        <w:jc w:val="center"/>
        <w:keepNext/>
      </w:pPr>
      <w:r>
        <w:rPr>
          <w:rFonts w:ascii="Times New Roman" w:cs="Times New Roman" w:eastAsia="Times New Roman" w:hAnsi="Times New Roman"/>
          <w:b/>
          <w:bCs/>
          <w:sz w:val="28"/>
          <w:szCs w:val="28"/>
          <w:u w:val="single"/>
        </w:rPr>
        <w:t xml:space="preserve">SIXTH CAUSE OF ACTION</w:t>
      </w:r>
    </w:p>
    <w:p>
      <w:pPr>
        <w:spacing w:after="60" w:before="0" w:line="480" w:lineRule="auto"/>
        <w:jc w:val="center"/>
        <w:keepNext/>
      </w:pPr>
      <w:r>
        <w:rPr>
          <w:rFonts w:ascii="Times New Roman" w:cs="Times New Roman" w:eastAsia="Times New Roman" w:hAnsi="Times New Roman"/>
          <w:b/>
          <w:bCs/>
          <w:sz w:val="24"/>
          <w:szCs w:val="24"/>
        </w:rPr>
        <w:t xml:space="preserve">Property Damage (CCP § 338)</w:t>
      </w:r>
    </w:p>
    <w:p>
      <w:pPr>
        <w:spacing w:after="200" w:before="0" w:line="480" w:lineRule="auto"/>
        <w:jc w:val="center"/>
      </w:pPr>
      <w:r>
        <w:rPr>
          <w:rFonts w:ascii="Times New Roman" w:cs="Times New Roman" w:eastAsia="Times New Roman" w:hAnsi="Times New Roman"/>
          <w:b w:val="false"/>
          <w:bCs w:val="false"/>
          <w:i w:val="false"/>
          <w:iCs w:val="false"/>
          <w:sz w:val="20"/>
          <w:szCs w:val="20"/>
        </w:rPr>
        <w:t xml:space="preserve">(Against All Defendants)</w:t>
      </w:r>
    </w:p>
    <w:p>
      <w:pPr>
        <w:spacing w:after="200" w:line="480" w:lineRule="auto"/>
        <w:ind w:left="720" w:hanging="720"/>
        <w:jc w:val="both"/>
      </w:pPr>
      <w:r>
        <w:rPr>
          <w:rFonts w:ascii="Times New Roman" w:cs="Times New Roman" w:eastAsia="Times New Roman" w:hAnsi="Times New Roman"/>
          <w:sz w:val="24"/>
          <w:szCs w:val="24"/>
        </w:rPr>
        <w:t>61. Plaintiff incorporates by reference each and every allegation set forth in the preceding paragraphs as though fully set forth herein.</w:t>
      </w:r>
    </w:p>
    <w:p>
      <w:pPr>
        <w:spacing w:after="200" w:line="480" w:lineRule="auto"/>
        <w:ind w:left="720" w:hanging="720"/>
        <w:jc w:val="both"/>
      </w:pPr>
      <w:r>
        <w:rPr>
          <w:rFonts w:ascii="Times New Roman" w:cs="Times New Roman" w:eastAsia="Times New Roman" w:hAnsi="Times New Roman"/>
          <w:sz w:val="24"/>
          <w:szCs w:val="24"/>
        </w:rPr>
        <w:t>62. As a direct and proximate result of Defendants’ acts and omissions, Plaintiff’s real and personal property has been damaged. The interior of Unit 208 has suffered extensive water damage and mold contamination requiring removal of ceilings in six rooms, an entire wall, and potentially contaminated HVAC insulation. Plaintiff’s personal property within the unit has also been damaged by water intrusion and mold.</w:t>
      </w:r>
    </w:p>
    <w:p>
      <w:pPr>
        <w:spacing w:before="360" w:after="240" w:line="480" w:lineRule="auto"/>
        <w:jc w:val="center"/>
        <w:keepNext/>
      </w:pPr>
      <w:r>
        <w:rPr>
          <w:rFonts w:ascii="Times New Roman" w:cs="Times New Roman" w:eastAsia="Times New Roman" w:hAnsi="Times New Roman"/>
          <w:b/>
          <w:bCs/>
          <w:sz w:val="28"/>
          <w:szCs w:val="28"/>
          <w:u w:val="single"/>
        </w:rPr>
        <w:t xml:space="preserve">SEVENTH CAUSE OF ACTION</w:t>
      </w:r>
    </w:p>
    <w:p>
      <w:pPr>
        <w:spacing w:after="60" w:before="0" w:line="480" w:lineRule="auto"/>
        <w:jc w:val="center"/>
        <w:keepNext/>
      </w:pPr>
      <w:r>
        <w:rPr>
          <w:rFonts w:ascii="Times New Roman" w:cs="Times New Roman" w:eastAsia="Times New Roman" w:hAnsi="Times New Roman"/>
          <w:b/>
          <w:bCs/>
          <w:sz w:val="24"/>
          <w:szCs w:val="24"/>
        </w:rPr>
        <w:t xml:space="preserve">Declaratory Relief (CCP § 1060)</w:t>
      </w:r>
    </w:p>
    <w:p>
      <w:pPr>
        <w:spacing w:after="200" w:before="0" w:line="480" w:lineRule="auto"/>
        <w:jc w:val="center"/>
      </w:pPr>
      <w:r>
        <w:rPr>
          <w:rFonts w:ascii="Times New Roman" w:cs="Times New Roman" w:eastAsia="Times New Roman" w:hAnsi="Times New Roman"/>
          <w:b w:val="false"/>
          <w:bCs w:val="false"/>
          <w:i w:val="false"/>
          <w:iCs w:val="false"/>
          <w:sz w:val="20"/>
          <w:szCs w:val="20"/>
        </w:rPr>
        <w:t xml:space="preserve">(Against Defendant Association)</w:t>
      </w:r>
    </w:p>
    <w:p>
      <w:pPr>
        <w:spacing w:after="200" w:line="480" w:lineRule="auto"/>
        <w:ind w:left="720" w:hanging="720"/>
        <w:jc w:val="both"/>
      </w:pPr>
      <w:r>
        <w:rPr>
          <w:rFonts w:ascii="Times New Roman" w:cs="Times New Roman" w:eastAsia="Times New Roman" w:hAnsi="Times New Roman"/>
          <w:sz w:val="24"/>
          <w:szCs w:val="24"/>
        </w:rPr>
        <w:t>63. Plaintiff incorporates by reference each and every allegation set forth in the preceding paragraphs as though fully set forth herein.</w:t>
      </w:r>
    </w:p>
    <w:p>
      <w:pPr>
        <w:spacing w:after="200" w:line="480" w:lineRule="auto"/>
        <w:ind w:left="720" w:hanging="720"/>
        <w:jc w:val="both"/>
      </w:pPr>
      <w:r>
        <w:rPr>
          <w:rFonts w:ascii="Times New Roman" w:cs="Times New Roman" w:eastAsia="Times New Roman" w:hAnsi="Times New Roman"/>
          <w:sz w:val="24"/>
          <w:szCs w:val="24"/>
        </w:rPr>
        <w:t>64. An actual controversy has arisen and now exists between Plaintiff and the Association concerning their respective rights and duties. Plaintiff contends that the Association has a mandatory, non-discretionary duty to maintain, repair, and replace the building’s roof under Civil Code Section 4775 and Article III, Section 6(A) of the CC&amp;Rs, and that this duty cannot be excused by a failed membership vote on a special assessment. Plaintiff further contends that the Board has the authority and duty to levy an emergency assessment under Civil Code Section 5610(b) to fund the repair. On information and belief, the Association disputes one or more of these contentions.</w:t>
      </w:r>
    </w:p>
    <w:p>
      <w:pPr>
        <w:spacing w:after="200" w:line="480" w:lineRule="auto"/>
        <w:ind w:left="720" w:hanging="720"/>
        <w:jc w:val="both"/>
      </w:pPr>
      <w:r>
        <w:rPr>
          <w:rFonts w:ascii="Times New Roman" w:cs="Times New Roman" w:eastAsia="Times New Roman" w:hAnsi="Times New Roman"/>
          <w:sz w:val="24"/>
          <w:szCs w:val="24"/>
        </w:rPr>
        <w:t>65. Plaintiff desires a judicial determination and declaration of the parties’ respective rights and duties, including a declaration that the Association is obligated to repair the roof and fund mold remediation regardless of the membership vote.</w:t>
      </w:r>
    </w:p>
    <w:p>
      <w:pPr>
        <w:spacing w:before="360" w:after="240" w:line="480" w:lineRule="auto"/>
        <w:jc w:val="center"/>
        <w:keepNext/>
      </w:pPr>
      <w:r>
        <w:rPr>
          <w:rFonts w:ascii="Times New Roman" w:cs="Times New Roman" w:eastAsia="Times New Roman" w:hAnsi="Times New Roman"/>
          <w:b/>
          <w:bCs/>
          <w:sz w:val="28"/>
          <w:szCs w:val="28"/>
          <w:u w:val="single"/>
        </w:rPr>
        <w:t xml:space="preserve">EIGHTH CAUSE OF ACTION</w:t>
      </w:r>
    </w:p>
    <w:p>
      <w:pPr>
        <w:spacing w:after="60" w:before="0" w:line="480" w:lineRule="auto"/>
        <w:jc w:val="center"/>
        <w:keepNext/>
      </w:pPr>
      <w:r>
        <w:rPr>
          <w:rFonts w:ascii="Times New Roman" w:cs="Times New Roman" w:eastAsia="Times New Roman" w:hAnsi="Times New Roman"/>
          <w:b/>
          <w:bCs/>
          <w:sz w:val="24"/>
          <w:szCs w:val="24"/>
        </w:rPr>
        <w:t xml:space="preserve">Injunctive Relief</w:t>
      </w:r>
    </w:p>
    <w:p>
      <w:pPr>
        <w:spacing w:after="200" w:before="0" w:line="480" w:lineRule="auto"/>
        <w:jc w:val="center"/>
      </w:pPr>
      <w:r>
        <w:rPr>
          <w:rFonts w:ascii="Times New Roman" w:cs="Times New Roman" w:eastAsia="Times New Roman" w:hAnsi="Times New Roman"/>
          <w:b w:val="false"/>
          <w:bCs w:val="false"/>
          <w:i w:val="false"/>
          <w:iCs w:val="false"/>
          <w:sz w:val="20"/>
          <w:szCs w:val="20"/>
        </w:rPr>
        <w:t xml:space="preserve">(Against Defendant Association)</w:t>
      </w:r>
    </w:p>
    <w:p>
      <w:pPr>
        <w:spacing w:after="200" w:line="480" w:lineRule="auto"/>
        <w:ind w:left="720" w:hanging="720"/>
        <w:jc w:val="both"/>
      </w:pPr>
      <w:r>
        <w:rPr>
          <w:rFonts w:ascii="Times New Roman" w:cs="Times New Roman" w:eastAsia="Times New Roman" w:hAnsi="Times New Roman"/>
          <w:sz w:val="24"/>
          <w:szCs w:val="24"/>
        </w:rPr>
        <w:t>66. Plaintiff incorporates by reference each and every allegation set forth in the preceding paragraphs as though fully set forth herein.</w:t>
      </w:r>
    </w:p>
    <w:p>
      <w:pPr>
        <w:spacing w:after="200" w:line="480" w:lineRule="auto"/>
        <w:ind w:left="720" w:hanging="720"/>
        <w:jc w:val="both"/>
      </w:pPr>
      <w:r>
        <w:rPr>
          <w:rFonts w:ascii="Times New Roman" w:cs="Times New Roman" w:eastAsia="Times New Roman" w:hAnsi="Times New Roman"/>
          <w:sz w:val="24"/>
          <w:szCs w:val="24"/>
        </w:rPr>
        <w:t>67. Plaintiff is entitled to mandatory injunctive relief compelling the Association to: (a) immediately commence emergency repair of the building’s roof by a licensed roofing contractor; (b) upon completion of roof repair, fund and oversee professional mold remediation of Unit 208 and all other affected units by a licensed remediation company, including asbestos testing as required and independent third-party clearance testing; (c) fund reconstruction of all interior surfaces demolished during remediation; and (d) exercise its emergency assessment authority under Civil Code Section 5610(b) as necessary to fund these obligations.</w:t>
      </w:r>
    </w:p>
    <w:p>
      <w:pPr>
        <w:spacing w:after="200" w:line="480" w:lineRule="auto"/>
        <w:ind w:left="720" w:hanging="720"/>
        <w:jc w:val="both"/>
      </w:pPr>
      <w:r>
        <w:rPr>
          <w:rFonts w:ascii="Times New Roman" w:cs="Times New Roman" w:eastAsia="Times New Roman" w:hAnsi="Times New Roman"/>
          <w:sz w:val="24"/>
          <w:szCs w:val="24"/>
        </w:rPr>
        <w:t>68. Plaintiff will suffer irreparable harm absent injunctive relief. The mold contamination poses an ongoing threat to health. The damage to Unit 208 worsens with each rainfall. The financial losses compound each month. Money damages alone cannot adequately compensate for the ongoing exposure to a health hazard and the progressive destruction of Plaintiff’s property.</w:t>
      </w:r>
    </w:p>
    <w:p>
      <w:pPr>
        <w:spacing w:after="200" w:line="480" w:lineRule="auto"/>
        <w:ind w:left="720" w:hanging="720"/>
        <w:jc w:val="both"/>
      </w:pPr>
      <w:r>
        <w:rPr>
          <w:rFonts w:ascii="Times New Roman" w:cs="Times New Roman" w:eastAsia="Times New Roman" w:hAnsi="Times New Roman"/>
          <w:sz w:val="24"/>
          <w:szCs w:val="24"/>
        </w:rPr>
        <w:t>69. The balance of hardships tips sharply in Plaintiff’s favor. The cost of roof repair and mold remediation is finite and quantifiable. The harm to Plaintiff from continued inaction is ongoing, compounding, and potentially irreversible (health consequences of prolonged mold exposure).</w:t>
      </w:r>
    </w:p>
    <w:p>
      <w:pPr>
        <w:spacing w:after="200" w:line="480" w:lineRule="auto"/>
        <w:ind w:left="720" w:hanging="720"/>
        <w:jc w:val="both"/>
      </w:pPr>
      <w:r>
        <w:rPr>
          <w:rFonts w:ascii="Times New Roman" w:cs="Times New Roman" w:eastAsia="Times New Roman" w:hAnsi="Times New Roman"/>
          <w:sz w:val="24"/>
          <w:szCs w:val="24"/>
        </w:rPr>
        <w:t>70. This claim for injunctive relief is exempt from the ADR prerequisite under Civil Code Section 5950(a)(3).</w:t>
      </w:r>
    </w:p>
    <w:p>
      <w:pPr>
        <w:spacing w:line="480" w:lineRule="auto"/>
        <w:keepNext/>
      </w:pPr>
      <w:r>
        <w:rPr>
          <w:rFonts w:ascii="Times New Roman" w:hAnsi="Times New Roman"/>
          <w:sz w:val="24"/>
          <w:b/>
        </w:rPr>
        <w:t xml:space="preserve">NINTH CAUSE OF ACTION</w:t>
      </w:r>
    </w:p>
    <w:p>
      <w:pPr>
        <w:spacing w:line="480" w:lineRule="auto"/>
        <w:keepNext/>
      </w:pPr>
      <w:r>
        <w:rPr>
          <w:rFonts w:ascii="Times New Roman" w:hAnsi="Times New Roman"/>
          <w:sz w:val="24"/>
          <w:b/>
        </w:rPr>
        <w:t xml:space="preserve">Gross Negligence</w:t>
      </w:r>
    </w:p>
    <w:p>
      <w:pPr>
        <w:spacing w:line="480" w:lineRule="auto"/>
        <w:keepNext/>
      </w:pPr>
      <w:r>
        <w:rPr>
          <w:rFonts w:ascii="Times New Roman" w:hAnsi="Times New Roman"/>
          <w:sz w:val="24"/>
          <w:b/>
        </w:rPr>
        <w:t xml:space="preserve">(Against All Defendants)</w:t>
      </w:r>
    </w:p>
    <w:p>
      <w:pPr>
        <w:spacing w:line="480" w:lineRule="auto"/>
      </w:pPr>
      <w:r>
        <w:rPr>
          <w:rFonts w:ascii="Times New Roman" w:hAnsi="Times New Roman"/>
          <w:sz w:val="24"/>
        </w:rPr>
        <w:t xml:space="preserve">71. Plaintiff incorporates by reference each and every allegation set forth in the preceding paragraphs as though fully set forth herein.</w:t>
      </w:r>
    </w:p>
    <w:p>
      <w:pPr>
        <w:spacing w:line="480" w:lineRule="auto"/>
      </w:pPr>
      <w:r>
        <w:rPr>
          <w:rFonts w:ascii="Times New Roman" w:hAnsi="Times New Roman"/>
          <w:sz w:val="24"/>
        </w:rPr>
        <w:t xml:space="preserve">72. The conduct of Defendants constitutes gross negligence — "the want of even scant care or an extreme departure from the ordinary standard of conduct." City of Santa Barbara v. Superior Court (2007) 41 Cal.4th 747, 754.</w:t>
      </w:r>
    </w:p>
    <w:p>
      <w:pPr>
        <w:spacing w:line="480" w:lineRule="auto"/>
      </w:pPr>
      <w:r>
        <w:rPr>
          <w:rFonts w:ascii="Times New Roman" w:hAnsi="Times New Roman"/>
          <w:sz w:val="24"/>
        </w:rPr>
        <w:t xml:space="preserve">73. Defendants received formal written notice of mold contamination as a health hazard on October 14, 2025; received laboratory results confirming mold at three times outdoor levels; received a remediation estimate of $17,243.53 across six rooms; witnessed a membership vote revealing nine affected units; had statutory emergency assessment authority under SB 900 (Civil Code Section 5610(b)); and took no action.</w:t>
      </w:r>
    </w:p>
    <w:p>
      <w:pPr>
        <w:spacing w:line="480" w:lineRule="auto"/>
      </w:pPr>
      <w:r>
        <w:rPr>
          <w:rFonts w:ascii="Times New Roman" w:hAnsi="Times New Roman"/>
          <w:sz w:val="24"/>
        </w:rPr>
        <w:t xml:space="preserve">74. Under Ridley v. Rancho Palma Grande Homeowners Assn. (2025) 114 Cal.App.5th 788, this constitutes gross negligence supporting punitive damages. The Ridley court affirmed $250,000 in punitive damages against the HOA and $25,000 against the board president personally.</w:t>
      </w:r>
    </w:p>
    <w:p>
      <w:pPr>
        <w:spacing w:line="480" w:lineRule="auto"/>
      </w:pPr>
      <w:r>
        <w:rPr>
          <w:rFonts w:ascii="Times New Roman" w:hAnsi="Times New Roman"/>
          <w:sz w:val="24"/>
        </w:rPr>
        <w:t xml:space="preserve">75. Plaintiff is entitled to punitive damages under Civil Code Section 3294.</w:t>
      </w:r>
    </w:p>
    <w:p>
      <w:pPr>
        <w:spacing w:line="480" w:lineRule="auto"/>
      </w:pPr>
    </w:p>
    <w:p>
      <w:pPr>
        <w:spacing w:line="480" w:lineRule="auto"/>
        <w:keepNext/>
      </w:pPr>
      <w:r>
        <w:rPr>
          <w:rFonts w:ascii="Times New Roman" w:hAnsi="Times New Roman"/>
          <w:sz w:val="24"/>
          <w:b/>
        </w:rPr>
        <w:t xml:space="preserve">TENTH CAUSE OF ACTION</w:t>
      </w:r>
    </w:p>
    <w:p>
      <w:pPr>
        <w:spacing w:line="480" w:lineRule="auto"/>
        <w:keepNext/>
      </w:pPr>
      <w:r>
        <w:rPr>
          <w:rFonts w:ascii="Times New Roman" w:hAnsi="Times New Roman"/>
          <w:sz w:val="24"/>
          <w:b/>
        </w:rPr>
        <w:t xml:space="preserve">Violation of Davis-Stirling Act (Civil Code section 4775)</w:t>
      </w:r>
    </w:p>
    <w:p>
      <w:pPr>
        <w:spacing w:line="480" w:lineRule="auto"/>
        <w:keepNext/>
      </w:pPr>
      <w:r>
        <w:rPr>
          <w:rFonts w:ascii="Times New Roman" w:hAnsi="Times New Roman"/>
          <w:sz w:val="24"/>
          <w:b/>
        </w:rPr>
        <w:t xml:space="preserve">(Against Defendant Association)</w:t>
      </w:r>
    </w:p>
    <w:p>
      <w:pPr>
        <w:spacing w:line="480" w:lineRule="auto"/>
      </w:pPr>
      <w:r>
        <w:rPr>
          <w:rFonts w:ascii="Times New Roman" w:hAnsi="Times New Roman"/>
          <w:sz w:val="24"/>
        </w:rPr>
        <w:t xml:space="preserve">76. Plaintiff incorporates by reference each and every allegation set forth in the preceding paragraphs as though fully set forth herein.</w:t>
      </w:r>
    </w:p>
    <w:p>
      <w:pPr>
        <w:spacing w:line="480" w:lineRule="auto"/>
      </w:pPr>
      <w:r>
        <w:rPr>
          <w:rFonts w:ascii="Times New Roman" w:hAnsi="Times New Roman"/>
          <w:sz w:val="24"/>
        </w:rPr>
        <w:t xml:space="preserve">77. Civil Code Section 4775(a)(1) imposes a mandatory duty on the Association to repair, replace, and maintain the common area. The roof is common area. The Association has failed this duty.</w:t>
      </w:r>
    </w:p>
    <w:p>
      <w:pPr>
        <w:spacing w:line="480" w:lineRule="auto"/>
      </w:pPr>
      <w:r>
        <w:rPr>
          <w:rFonts w:ascii="Times New Roman" w:hAnsi="Times New Roman"/>
          <w:sz w:val="24"/>
        </w:rPr>
        <w:t xml:space="preserve">78. Civil Code Section 5600 requires the Association to levy assessments sufficient to perform its obligations. The Association has failed to do so.</w:t>
      </w:r>
    </w:p>
    <w:p>
      <w:pPr>
        <w:spacing w:line="480" w:lineRule="auto"/>
      </w:pPr>
      <w:r>
        <w:rPr>
          <w:rFonts w:ascii="Times New Roman" w:hAnsi="Times New Roman"/>
          <w:sz w:val="24"/>
        </w:rPr>
        <w:t xml:space="preserve">79. Civil Code Section 5610(b), as amended by SB 900 effective January 1, 2025, authorizes emergency assessments without member vote for health hazards including mold. The Board failed to exercise this authority.</w:t>
      </w:r>
    </w:p>
    <w:p>
      <w:pPr>
        <w:spacing w:line="480" w:lineRule="auto"/>
      </w:pPr>
      <w:r>
        <w:rPr>
          <w:rFonts w:ascii="Times New Roman" w:hAnsi="Times New Roman"/>
          <w:sz w:val="24"/>
        </w:rPr>
        <w:t xml:space="preserve">80. Pursuant to Civil Code Section 5975, Plaintiff is entitled to attorney's fees and costs as the prevailing party.</w:t>
      </w:r>
    </w:p>
    <w:p>
      <w:pPr>
        <w:spacing w:line="480" w:lineRule="auto"/>
      </w:pPr>
    </w:p>
    <w:p>
      <w:pPr>
        <w:spacing w:line="480" w:lineRule="auto"/>
        <w:keepNext/>
      </w:pPr>
      <w:r>
        <w:rPr>
          <w:rFonts w:ascii="Times New Roman" w:hAnsi="Times New Roman"/>
          <w:sz w:val="24"/>
          <w:b/>
        </w:rPr>
        <w:t xml:space="preserve">ELEVENTH CAUSE OF ACTION</w:t>
      </w:r>
    </w:p>
    <w:p>
      <w:pPr>
        <w:spacing w:line="480" w:lineRule="auto"/>
        <w:keepNext/>
      </w:pPr>
      <w:r>
        <w:rPr>
          <w:rFonts w:ascii="Times New Roman" w:hAnsi="Times New Roman"/>
          <w:sz w:val="24"/>
          <w:b/>
        </w:rPr>
        <w:t xml:space="preserve">Violation of Health and Safety Code Section 17920.3</w:t>
      </w:r>
    </w:p>
    <w:p>
      <w:pPr>
        <w:spacing w:line="480" w:lineRule="auto"/>
        <w:keepNext/>
      </w:pPr>
      <w:r>
        <w:rPr>
          <w:rFonts w:ascii="Times New Roman" w:hAnsi="Times New Roman"/>
          <w:sz w:val="24"/>
          <w:b/>
        </w:rPr>
        <w:t xml:space="preserve">(Against Defendant Association and Defendant California HOA Solutions LLC)</w:t>
      </w:r>
    </w:p>
    <w:p>
      <w:pPr>
        <w:spacing w:line="480" w:lineRule="auto"/>
      </w:pPr>
      <w:r>
        <w:rPr>
          <w:rFonts w:ascii="Times New Roman" w:hAnsi="Times New Roman"/>
          <w:sz w:val="24"/>
        </w:rPr>
        <w:t xml:space="preserve">81. Plaintiff incorporates by reference each and every allegation set forth in the preceding paragraphs as though fully set forth herein.</w:t>
      </w:r>
    </w:p>
    <w:p>
      <w:pPr>
        <w:spacing w:line="480" w:lineRule="auto"/>
      </w:pPr>
      <w:r>
        <w:rPr>
          <w:rFonts w:ascii="Times New Roman" w:hAnsi="Times New Roman"/>
          <w:sz w:val="24"/>
        </w:rPr>
        <w:t xml:space="preserve">82. Health and Safety Code Section 17920.3 provides that visible mold growth endangering occupants constitutes a substandard building condition.</w:t>
      </w:r>
    </w:p>
    <w:p>
      <w:pPr>
        <w:spacing w:line="480" w:lineRule="auto"/>
      </w:pPr>
      <w:r>
        <w:rPr>
          <w:rFonts w:ascii="Times New Roman" w:hAnsi="Times New Roman"/>
          <w:sz w:val="24"/>
        </w:rPr>
        <w:t xml:space="preserve">83. Aspergillus/Penicillium at 790 count per cubic meter (3.04 times outdoor baseline) plus Alternaria on ceiling swab constitutes such a condition.</w:t>
      </w:r>
    </w:p>
    <w:p>
      <w:pPr>
        <w:spacing w:line="480" w:lineRule="auto"/>
      </w:pPr>
      <w:r>
        <w:rPr>
          <w:rFonts w:ascii="Times New Roman" w:hAnsi="Times New Roman"/>
          <w:sz w:val="24"/>
        </w:rPr>
        <w:t xml:space="preserve">84. The Association has allowed this substandard condition to persist for approximately one year despite actual notice.</w:t>
      </w:r>
    </w:p>
    <w:p>
      <w:pPr>
        <w:spacing w:line="480" w:lineRule="auto"/>
      </w:pPr>
      <w:r>
        <w:rPr>
          <w:rFonts w:ascii="Times New Roman" w:hAnsi="Times New Roman"/>
          <w:sz w:val="24"/>
        </w:rPr>
        <w:t xml:space="preserve">85. Plaintiff is entitled to all remedies available under the Health and Safety Code.</w:t>
      </w:r>
    </w:p>
    <w:p>
      <w:pPr>
        <w:spacing w:before="360" w:after="240" w:line="480" w:lineRule="auto"/>
        <w:jc w:val="center"/>
        <w:keepNext/>
      </w:pPr>
      <w:r>
        <w:rPr>
          <w:rFonts w:ascii="Times New Roman" w:cs="Times New Roman" w:eastAsia="Times New Roman" w:hAnsi="Times New Roman"/>
          <w:b/>
          <w:bCs/>
          <w:sz w:val="28"/>
          <w:szCs w:val="28"/>
          <w:u w:val="single"/>
        </w:rPr>
        <w:t xml:space="preserve">PRAYER FOR RELIEF</w:t>
      </w:r>
    </w:p>
    <w:p>
      <w:pPr>
        <w:spacing w:after="200" w:before="0" w:line="480" w:lineRule="auto"/>
        <w:jc w:val="both"/>
      </w:pPr>
      <w:r>
        <w:rPr>
          <w:rFonts w:ascii="Times New Roman" w:cs="Times New Roman" w:eastAsia="Times New Roman" w:hAnsi="Times New Roman"/>
          <w:b w:val="false"/>
          <w:bCs w:val="false"/>
          <w:i w:val="false"/>
          <w:iCs w:val="false"/>
          <w:sz w:val="24"/>
          <w:szCs w:val="24"/>
        </w:rPr>
        <w:t xml:space="preserve">WHEREFORE, Plaintiff prays for judgment against Defendants as follows:</w:t>
      </w:r>
    </w:p>
    <w:p>
      <w:pPr>
        <w:spacing w:after="200" w:before="0" w:line="480" w:lineRule="auto"/>
        <w:ind w:left="720"/>
        <w:jc w:val="both"/>
      </w:pPr>
      <w:r>
        <w:rPr>
          <w:rFonts w:ascii="Times New Roman" w:cs="Times New Roman" w:eastAsia="Times New Roman" w:hAnsi="Times New Roman"/>
          <w:b w:val="false"/>
          <w:bCs w:val="false"/>
          <w:i w:val="false"/>
          <w:iCs w:val="false"/>
          <w:sz w:val="24"/>
          <w:szCs w:val="24"/>
        </w:rPr>
        <w:t xml:space="preserve">1. For compensatory damages according to proof at trial, including but not limited to the cost of mold remediation, reconstruction costs, lost rental income, diminished property value, personal property damage, loss of use, and emotional distress;</w:t>
      </w:r>
    </w:p>
    <w:p>
      <w:pPr>
        <w:spacing w:after="200" w:before="0" w:line="480" w:lineRule="auto"/>
        <w:ind w:left="720"/>
        <w:jc w:val="both"/>
      </w:pPr>
      <w:r>
        <w:rPr>
          <w:rFonts w:ascii="Times New Roman" w:cs="Times New Roman" w:eastAsia="Times New Roman" w:hAnsi="Times New Roman"/>
          <w:b w:val="false"/>
          <w:bCs w:val="false"/>
          <w:i w:val="false"/>
          <w:iCs w:val="false"/>
          <w:sz w:val="24"/>
          <w:szCs w:val="24"/>
        </w:rPr>
        <w:t xml:space="preserve">2. For a judicial declaration that the Association is obligated to maintain, repair, and replace the roof under Civil Code Section 4775 and the CC&amp;Rs, and that the Board has the authority and duty to levy an emergency assessment under Civil Code Section 5610(b) to fund the repair;</w:t>
      </w:r>
    </w:p>
    <w:p>
      <w:pPr>
        <w:spacing w:after="200" w:before="0" w:line="480" w:lineRule="auto"/>
        <w:ind w:left="720"/>
        <w:jc w:val="both"/>
      </w:pPr>
      <w:r>
        <w:rPr>
          <w:rFonts w:ascii="Times New Roman" w:cs="Times New Roman" w:eastAsia="Times New Roman" w:hAnsi="Times New Roman"/>
          <w:b w:val="false"/>
          <w:bCs w:val="false"/>
          <w:i w:val="false"/>
          <w:iCs w:val="false"/>
          <w:sz w:val="24"/>
          <w:szCs w:val="24"/>
        </w:rPr>
        <w:t xml:space="preserve">3. For a mandatory injunction compelling the Association to immediately repair the roof, fund professional mold remediation, and fund reconstruction of all damaged interior surfaces;</w:t>
      </w:r>
    </w:p>
    <w:p>
      <w:pPr>
        <w:spacing w:after="200" w:before="0" w:line="480" w:lineRule="auto"/>
        <w:ind w:left="720"/>
        <w:jc w:val="both"/>
      </w:pPr>
      <w:r>
        <w:rPr>
          <w:rFonts w:ascii="Times New Roman" w:cs="Times New Roman" w:eastAsia="Times New Roman" w:hAnsi="Times New Roman"/>
          <w:b w:val="false"/>
          <w:bCs w:val="false"/>
          <w:i w:val="false"/>
          <w:iCs w:val="false"/>
          <w:sz w:val="24"/>
          <w:szCs w:val="24"/>
        </w:rPr>
        <w:t xml:space="preserve">4. For punitive damages pursuant to Civil Code Section 3294 against any Defendant whose conduct is proven to have been willful, oppressive, or in conscious disregard of Plaintiff’s rights;</w:t>
      </w:r>
    </w:p>
    <w:p>
      <w:pPr>
        <w:spacing w:after="200" w:before="0" w:line="480" w:lineRule="auto"/>
        <w:ind w:left="720"/>
        <w:jc w:val="both"/>
      </w:pPr>
      <w:r>
        <w:rPr>
          <w:rFonts w:ascii="Times New Roman" w:cs="Times New Roman" w:eastAsia="Times New Roman" w:hAnsi="Times New Roman"/>
          <w:b w:val="false"/>
          <w:bCs w:val="false"/>
          <w:i w:val="false"/>
          <w:iCs w:val="false"/>
          <w:sz w:val="24"/>
          <w:szCs w:val="24"/>
        </w:rPr>
        <w:t xml:space="preserve">5. For reasonable attorney’s fees and costs pursuant to Civil Code Section 5975(c);</w:t>
      </w:r>
    </w:p>
    <w:p>
      <w:pPr>
        <w:spacing w:after="200" w:before="0" w:line="480" w:lineRule="auto"/>
        <w:ind w:left="720"/>
        <w:jc w:val="both"/>
      </w:pPr>
      <w:r>
        <w:rPr>
          <w:rFonts w:ascii="Times New Roman" w:cs="Times New Roman" w:eastAsia="Times New Roman" w:hAnsi="Times New Roman"/>
          <w:b w:val="false"/>
          <w:bCs w:val="false"/>
          <w:i w:val="false"/>
          <w:iCs w:val="false"/>
          <w:sz w:val="24"/>
          <w:szCs w:val="24"/>
        </w:rPr>
        <w:t xml:space="preserve">6. For costs of suit incurred herein;</w:t>
      </w:r>
    </w:p>
    <w:p>
      <w:pPr>
        <w:spacing w:after="200" w:before="0" w:line="480" w:lineRule="auto"/>
        <w:ind w:left="720"/>
        <w:jc w:val="both"/>
      </w:pPr>
      <w:r>
        <w:rPr>
          <w:rFonts w:ascii="Times New Roman" w:cs="Times New Roman" w:eastAsia="Times New Roman" w:hAnsi="Times New Roman"/>
          <w:b w:val="false"/>
          <w:bCs w:val="false"/>
          <w:i w:val="false"/>
          <w:iCs w:val="false"/>
          <w:sz w:val="24"/>
          <w:szCs w:val="24"/>
        </w:rPr>
        <w:t xml:space="preserve">7. For pre-judgment and post-judgment interest as allowed by law; and</w:t>
      </w:r>
    </w:p>
    <w:p>
      <w:pPr>
        <w:spacing w:after="400" w:before="0" w:line="480" w:lineRule="auto"/>
        <w:ind w:left="720"/>
        <w:jc w:val="both"/>
      </w:pPr>
      <w:r>
        <w:rPr>
          <w:rFonts w:ascii="Times New Roman" w:cs="Times New Roman" w:eastAsia="Times New Roman" w:hAnsi="Times New Roman"/>
          <w:b w:val="false"/>
          <w:bCs w:val="false"/>
          <w:i w:val="false"/>
          <w:iCs w:val="false"/>
          <w:sz w:val="24"/>
          <w:szCs w:val="24"/>
        </w:rPr>
        <w:t xml:space="preserve">8. For such other and further relief as the Court deems just and proper.</w:t>
      </w:r>
    </w:p>
    <w:p>
      <w:pPr>
        <w:spacing w:before="360" w:after="240" w:line="480" w:lineRule="auto"/>
        <w:jc w:val="center"/>
        <w:keepNext/>
      </w:pPr>
      <w:r>
        <w:rPr>
          <w:rFonts w:ascii="Times New Roman" w:cs="Times New Roman" w:eastAsia="Times New Roman" w:hAnsi="Times New Roman"/>
          <w:b/>
          <w:bCs/>
          <w:sz w:val="28"/>
          <w:szCs w:val="28"/>
          <w:u w:val="single"/>
        </w:rPr>
        <w:t xml:space="preserve">DEMAND FOR JURY TRIAL</w:t>
      </w:r>
    </w:p>
    <w:p>
      <w:pPr>
        <w:spacing w:after="400" w:before="0" w:line="480" w:lineRule="auto"/>
        <w:jc w:val="both"/>
      </w:pPr>
      <w:r>
        <w:rPr>
          <w:rFonts w:ascii="Times New Roman" w:cs="Times New Roman" w:eastAsia="Times New Roman" w:hAnsi="Times New Roman"/>
          <w:b w:val="false"/>
          <w:bCs w:val="false"/>
          <w:i w:val="false"/>
          <w:iCs w:val="false"/>
          <w:sz w:val="24"/>
          <w:szCs w:val="24"/>
        </w:rPr>
        <w:t xml:space="preserve">Plaintiff hereby demands a trial by jury on all issues so triable.</w:t>
      </w:r>
    </w:p>
    <w:p>
      <w:pPr>
        <w:spacing w:before="360" w:after="240" w:line="480" w:lineRule="auto"/>
        <w:jc w:val="center"/>
        <w:keepNext/>
      </w:pPr>
      <w:r>
        <w:rPr>
          <w:rFonts w:ascii="Times New Roman" w:cs="Times New Roman" w:eastAsia="Times New Roman" w:hAnsi="Times New Roman"/>
          <w:b/>
          <w:bCs/>
          <w:sz w:val="28"/>
          <w:szCs w:val="28"/>
          <w:u w:val="single"/>
        </w:rPr>
        <w:t xml:space="preserve">VERIFICATION</w:t>
      </w:r>
    </w:p>
    <w:p>
      <w:pPr>
        <w:spacing w:after="400" w:before="0" w:line="480" w:lineRule="auto"/>
        <w:jc w:val="both"/>
      </w:pPr>
      <w:r>
        <w:rPr>
          <w:rFonts w:ascii="Times New Roman" w:cs="Times New Roman" w:eastAsia="Times New Roman" w:hAnsi="Times New Roman"/>
          <w:b w:val="false"/>
          <w:bCs w:val="false"/>
          <w:i w:val="false"/>
          <w:iCs w:val="false"/>
          <w:sz w:val="24"/>
          <w:szCs w:val="24"/>
        </w:rPr>
        <w:t xml:space="preserve">I, Jose Segura, am the Plaintiff in this action. I have read the foregoing Verified Complaint and know the contents thereof. The facts stated therein are true of my own knowledge, except as to those matters stated on information and belief, and as to those matters, I believe them to be true.</w:t>
      </w:r>
    </w:p>
    <w:p>
      <w:pPr>
        <w:spacing w:after="400" w:before="0" w:line="480" w:lineRule="auto"/>
        <w:jc w:val="both"/>
      </w:pPr>
      <w:r>
        <w:rPr>
          <w:rFonts w:ascii="Times New Roman" w:cs="Times New Roman" w:eastAsia="Times New Roman" w:hAnsi="Times New Roman"/>
          <w:b w:val="false"/>
          <w:bCs w:val="false"/>
          <w:i w:val="false"/>
          <w:iCs w:val="false"/>
          <w:sz w:val="24"/>
          <w:szCs w:val="24"/>
        </w:rPr>
        <w:t xml:space="preserve">I declare under penalty of perjury under the laws of the State of California that the foregoing is true and correct.</w:t>
      </w:r>
    </w:p>
    <w:p>
      <w:pPr>
        <w:spacing w:after="600" w:before="0" w:line="480" w:lineRule="auto"/>
        <w:jc w:val="both"/>
      </w:pPr>
      <w:r>
        <w:rPr>
          <w:rFonts w:ascii="Times New Roman" w:cs="Times New Roman" w:eastAsia="Times New Roman" w:hAnsi="Times New Roman"/>
          <w:b w:val="false"/>
          <w:bCs w:val="false"/>
          <w:i w:val="false"/>
          <w:iCs w:val="false"/>
          <w:sz w:val="24"/>
          <w:szCs w:val="24"/>
        </w:rPr>
        <w:t xml:space="preserve">Executed on _____________, 2026, at ________________________, California.</w:t>
      </w:r>
    </w:p>
    <w:p>
      <w:pPr>
        <w:spacing w:after="60" w:before="0" w:line="480" w:lineRule="auto"/>
        <w:jc w:val="both"/>
      </w:pPr>
      <w:r>
        <w:rPr>
          <w:rFonts w:ascii="Times New Roman" w:cs="Times New Roman" w:eastAsia="Times New Roman" w:hAnsi="Times New Roman"/>
          <w:b w:val="false"/>
          <w:bCs w:val="false"/>
          <w:i w:val="false"/>
          <w:iCs w:val="false"/>
          <w:sz w:val="24"/>
          <w:szCs w:val="24"/>
        </w:rPr>
        <w:t xml:space="preserve">_________________________________________</w:t>
      </w:r>
    </w:p>
    <w:p>
      <w:pPr>
        <w:spacing w:after="60" w:before="0" w:line="480" w:lineRule="auto"/>
        <w:jc w:val="both"/>
        <w:keepNext/>
      </w:pPr>
      <w:r>
        <w:rPr>
          <w:rFonts w:ascii="Times New Roman" w:cs="Times New Roman" w:eastAsia="Times New Roman" w:hAnsi="Times New Roman"/>
          <w:b/>
          <w:bCs/>
          <w:i w:val="false"/>
          <w:iCs w:val="false"/>
          <w:sz w:val="24"/>
          <w:szCs w:val="24"/>
        </w:rPr>
        <w:t xml:space="preserve">Jose Segura, Plaintiff, In Pro Per</w:t>
      </w:r>
    </w:p>
    <w:p>
      <w:pPr>
        <w:spacing w:after="60" w:before="0" w:line="480" w:lineRule="auto"/>
        <w:jc w:val="both"/>
      </w:pPr>
      <w:r>
        <w:rPr>
          <w:rFonts w:ascii="Times New Roman" w:cs="Times New Roman" w:eastAsia="Times New Roman" w:hAnsi="Times New Roman"/>
          <w:b w:val="false"/>
          <w:bCs w:val="false"/>
          <w:i w:val="false"/>
          <w:iCs w:val="false"/>
          <w:sz w:val="24"/>
          <w:szCs w:val="24"/>
        </w:rPr>
        <w:t xml:space="preserve">1101 W. McArthur Blvd #258</w:t>
      </w:r>
    </w:p>
    <w:p>
      <w:pPr>
        <w:spacing w:after="60" w:before="0" w:line="480" w:lineRule="auto"/>
        <w:jc w:val="both"/>
      </w:pPr>
      <w:r>
        <w:rPr>
          <w:rFonts w:ascii="Times New Roman" w:cs="Times New Roman" w:eastAsia="Times New Roman" w:hAnsi="Times New Roman"/>
          <w:b w:val="false"/>
          <w:bCs w:val="false"/>
          <w:i w:val="false"/>
          <w:iCs w:val="false"/>
          <w:sz w:val="24"/>
          <w:szCs w:val="24"/>
        </w:rPr>
        <w:t xml:space="preserve">Santa Ana, CA 92707</w:t>
      </w:r>
    </w:p>
    <w:p>
      <w:pPr>
        <w:spacing w:after="60" w:before="0" w:line="480" w:lineRule="auto"/>
        <w:jc w:val="both"/>
      </w:pPr>
      <w:r>
        <w:rPr>
          <w:rFonts w:ascii="Times New Roman" w:cs="Times New Roman" w:eastAsia="Times New Roman" w:hAnsi="Times New Roman"/>
          <w:b w:val="false"/>
          <w:bCs w:val="false"/>
          <w:i w:val="false"/>
          <w:iCs w:val="false"/>
          <w:sz w:val="24"/>
          <w:szCs w:val="24"/>
        </w:rPr>
        <w:t xml:space="preserve">Email: segura.jose5@yahoo.com</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jc w:val="center"/>
    </w:pPr>
    <w:r>
      <w:rPr>
        <w:rFonts w:ascii="Times New Roman" w:cs="Times New Roman" w:eastAsia="Times New Roman" w:hAnsi="Times New Roman"/>
        <w:sz w:val="20"/>
        <w:szCs w:val="20"/>
      </w:rPr>
      <w:t xml:space="preserve">Page </w:t>
    </w:r>
    <w:r>
      <w:rPr>
        <w:rFonts w:ascii="Times New Roman" w:cs="Times New Roman" w:eastAsia="Times New Roman" w:hAnsi="Times New Roman"/>
        <w:sz w:val="20"/>
        <w:szCs w:val="20"/>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jc w:val="center"/>
    </w:pPr>
    <w:r>
      <w:rPr>
        <w:rFonts w:ascii="Times New Roman" w:cs="Times New Roman" w:eastAsia="Times New Roman" w:hAnsi="Times New Roman"/>
        <w:i/>
        <w:iCs/>
        <w:sz w:val="20"/>
        <w:szCs w:val="20"/>
      </w:rPr>
      <w:t xml:space="preserve">VERIFIED COMPLAINT FOR DAMAGES, DECLARATORY RELIEF, AND INJUNCTIVE RELIEF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2026-03-22T21:42:40.384Z</dcterms:created>
  <dcterms:modified xsi:type="dcterms:W3CDTF">2026-03-22T21:42:40.385Z</dcterms:modified>
</cp:coreProperties>
</file>

<file path=docProps/custom.xml><?xml version="1.0" encoding="utf-8"?>
<Properties xmlns="http://schemas.openxmlformats.org/officeDocument/2006/custom-properties" xmlns:vt="http://schemas.openxmlformats.org/officeDocument/2006/docPropsVTypes"/>
</file>