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line="276" w:lineRule="auto"/>
        <w:jc w:val="center"/>
        <w:keepNext/>
      </w:pPr>
      <w:r>
        <w:rPr>
          <w:rFonts w:ascii="Times New Roman" w:cs="Times New Roman" w:eastAsia="Times New Roman" w:hAnsi="Times New Roman"/>
          <w:b/>
          <w:bCs/>
          <w:i w:val="false"/>
          <w:iCs w:val="false"/>
          <w:sz w:val="32"/>
          <w:szCs w:val="32"/>
        </w:rPr>
        <w:t xml:space="preserve">CHRONOLOGICAL TIMELINE OF EVENTS</w:t>
      </w:r>
    </w:p>
    <w:p>
      <w:pPr>
        <w:spacing w:after="60" w:before="0" w:line="276" w:lineRule="auto"/>
        <w:jc w:val="center"/>
      </w:pPr>
      <w:r>
        <w:rPr>
          <w:rFonts w:ascii="Times New Roman" w:cs="Times New Roman" w:eastAsia="Times New Roman" w:hAnsi="Times New Roman"/>
          <w:b w:val="false"/>
          <w:bCs w:val="false"/>
          <w:i/>
          <w:iCs/>
          <w:sz w:val="28"/>
          <w:szCs w:val="28"/>
        </w:rPr>
        <w:t xml:space="preserve">Segura v. Uniappartment Homeowners Association</w:t>
      </w:r>
    </w:p>
    <w:p>
      <w:pPr>
        <w:spacing w:after="400" w:before="0" w:line="276" w:lineRule="auto"/>
        <w:jc w:val="center"/>
      </w:pPr>
      <w:r>
        <w:rPr>
          <w:rFonts w:ascii="Times New Roman" w:cs="Times New Roman" w:eastAsia="Times New Roman" w:hAnsi="Times New Roman"/>
          <w:b w:val="false"/>
          <w:bCs w:val="false"/>
          <w:i w:val="false"/>
          <w:iCs w:val="false"/>
          <w:sz w:val="20"/>
          <w:szCs w:val="20"/>
        </w:rPr>
        <w:t xml:space="preserve">15516 Nordhoff Street, Unit 208, North Hills, California 91343</w:t>
      </w:r>
    </w:p>
    <w:p>
      <w:pPr>
        <w:spacing w:after="400" w:before="0" w:line="276" w:lineRule="auto"/>
        <w:jc w:val="center"/>
      </w:pPr>
      <w:r>
        <w:rPr>
          <w:rFonts w:ascii="Times New Roman" w:cs="Times New Roman" w:eastAsia="Times New Roman" w:hAnsi="Times New Roman"/>
          <w:i/>
          <w:iCs/>
          <w:sz w:val="20"/>
          <w:szCs w:val="20"/>
        </w:rPr>
        <w:t xml:space="preserve">Prepared for litigation and settlement purposes. All dates verified against source documents.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3200"/>
        <w:gridCol w:w="2400"/>
        <w:gridCol w:w="2260"/>
      </w:tblGrid>
      <w:tr>
        <w:tc>
          <w:tcPr>
            <w:tcW w:type="dxa" w:w="1500"/>
            <w:tcBorders>
              <w:top w:val="single" w:color="999999" w:sz="1"/>
              <w:left w:val="single" w:color="999999" w:sz="1"/>
              <w:bottom w:val="single" w:color="999999" w:sz="1"/>
              <w:right w:val="single" w:color="999999" w:sz="1"/>
            </w:tcBorders>
            <w:shd w:fill="1B3A5C" w:val="clear"/>
            <w:tcMar>
              <w:top w:type="dxa" w:w="60"/>
              <w:left w:type="dxa" w:w="80"/>
              <w:bottom w:type="dxa" w:w="60"/>
              <w:right w:type="dxa" w:w="80"/>
            </w:tcMar>
          </w:tcPr>
          <w:p>
            <w:pPr>
              <w:spacing w:after="0"/>
            </w:pPr>
            <w:r>
              <w:rPr>
                <w:rFonts w:ascii="Times New Roman" w:cs="Times New Roman" w:eastAsia="Times New Roman" w:hAnsi="Times New Roman"/>
                <w:b/>
                <w:bCs/>
                <w:color w:val="FFFFFF"/>
                <w:sz w:val="20"/>
                <w:szCs w:val="20"/>
              </w:rPr>
              <w:t xml:space="preserve">DATE</w:t>
            </w:r>
          </w:p>
        </w:tc>
        <w:tc>
          <w:tcPr>
            <w:tcW w:type="dxa" w:w="3200"/>
            <w:tcBorders>
              <w:top w:val="single" w:color="999999" w:sz="1"/>
              <w:left w:val="single" w:color="999999" w:sz="1"/>
              <w:bottom w:val="single" w:color="999999" w:sz="1"/>
              <w:right w:val="single" w:color="999999" w:sz="1"/>
            </w:tcBorders>
            <w:shd w:fill="1B3A5C" w:val="clear"/>
            <w:tcMar>
              <w:top w:type="dxa" w:w="60"/>
              <w:left w:type="dxa" w:w="80"/>
              <w:bottom w:type="dxa" w:w="60"/>
              <w:right w:type="dxa" w:w="80"/>
            </w:tcMar>
          </w:tcPr>
          <w:p>
            <w:pPr>
              <w:spacing w:after="0"/>
            </w:pPr>
            <w:r>
              <w:rPr>
                <w:rFonts w:ascii="Times New Roman" w:cs="Times New Roman" w:eastAsia="Times New Roman" w:hAnsi="Times New Roman"/>
                <w:b/>
                <w:bCs/>
                <w:color w:val="FFFFFF"/>
                <w:sz w:val="20"/>
                <w:szCs w:val="20"/>
              </w:rPr>
              <w:t xml:space="preserve">EVENT</w:t>
            </w:r>
          </w:p>
        </w:tc>
        <w:tc>
          <w:tcPr>
            <w:tcW w:type="dxa" w:w="2400"/>
            <w:tcBorders>
              <w:top w:val="single" w:color="999999" w:sz="1"/>
              <w:left w:val="single" w:color="999999" w:sz="1"/>
              <w:bottom w:val="single" w:color="999999" w:sz="1"/>
              <w:right w:val="single" w:color="999999" w:sz="1"/>
            </w:tcBorders>
            <w:shd w:fill="1B3A5C" w:val="clear"/>
            <w:tcMar>
              <w:top w:type="dxa" w:w="60"/>
              <w:left w:type="dxa" w:w="80"/>
              <w:bottom w:type="dxa" w:w="60"/>
              <w:right w:type="dxa" w:w="80"/>
            </w:tcMar>
          </w:tcPr>
          <w:p>
            <w:pPr>
              <w:spacing w:after="0"/>
            </w:pPr>
            <w:r>
              <w:rPr>
                <w:rFonts w:ascii="Times New Roman" w:cs="Times New Roman" w:eastAsia="Times New Roman" w:hAnsi="Times New Roman"/>
                <w:b/>
                <w:bCs/>
                <w:color w:val="FFFFFF"/>
                <w:sz w:val="20"/>
                <w:szCs w:val="20"/>
              </w:rPr>
              <w:t xml:space="preserve">EVIDENCE</w:t>
            </w:r>
          </w:p>
        </w:tc>
        <w:tc>
          <w:tcPr>
            <w:tcW w:type="dxa" w:w="2260"/>
            <w:tcBorders>
              <w:top w:val="single" w:color="999999" w:sz="1"/>
              <w:left w:val="single" w:color="999999" w:sz="1"/>
              <w:bottom w:val="single" w:color="999999" w:sz="1"/>
              <w:right w:val="single" w:color="999999" w:sz="1"/>
            </w:tcBorders>
            <w:shd w:fill="1B3A5C" w:val="clear"/>
            <w:tcMar>
              <w:top w:type="dxa" w:w="60"/>
              <w:left w:type="dxa" w:w="80"/>
              <w:bottom w:type="dxa" w:w="60"/>
              <w:right w:type="dxa" w:w="80"/>
            </w:tcMar>
          </w:tcPr>
          <w:p>
            <w:pPr>
              <w:spacing w:after="0"/>
            </w:pPr>
            <w:r>
              <w:rPr>
                <w:rFonts w:ascii="Times New Roman" w:cs="Times New Roman" w:eastAsia="Times New Roman" w:hAnsi="Times New Roman"/>
                <w:b/>
                <w:bCs/>
                <w:color w:val="FFFFFF"/>
                <w:sz w:val="20"/>
                <w:szCs w:val="20"/>
              </w:rPr>
              <w:t xml:space="preserve">LEGAL SIGNIFICANCE</w:t>
            </w:r>
          </w:p>
        </w:tc>
      </w:tr>
      <w:tr>
        <w:tc>
          <w:tcPr>
            <w:tcW w:type="dxa" w:w="1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~1980</w:t>
            </w:r>
          </w:p>
        </w:tc>
        <w:tc>
          <w:tcPr>
            <w:tcW w:type="dxa" w:w="32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Building constructed at 15516 Nordhoff St, North Hills, CA 91343. 29-unit condominium complex, Lot 1, Tract 38490, City of Los Angeles.</w:t>
            </w:r>
          </w:p>
        </w:tc>
        <w:tc>
          <w:tcPr>
            <w:tcW w:type="dxa" w:w="24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LA County Assessor records (to be confirmed)</w:t>
            </w:r>
          </w:p>
        </w:tc>
        <w:tc>
          <w:tcPr>
            <w:tcW w:type="dxa" w:w="226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Building age makes HVAC insulation Presumed Asbestos Containing Material under Title 8 CCR § 1529.</w:t>
            </w:r>
          </w:p>
        </w:tc>
      </w:tr>
      <w:tr>
        <w:tc>
          <w:tcPr>
            <w:tcW w:type="dxa" w:w="1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2016</w:t>
            </w:r>
          </w:p>
        </w:tc>
        <w:tc>
          <w:tcPr>
            <w:tcW w:type="dxa" w:w="32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CC&amp;Rs executed by Uniappartment Homeowners Association. Supersede all prior declarations. Article III § 6(A) mandates Association maintain common areas including roof.</w:t>
            </w:r>
          </w:p>
        </w:tc>
        <w:tc>
          <w:tcPr>
            <w:tcW w:type="dxa" w:w="24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CC&amp;Rs (on file)</w:t>
            </w:r>
          </w:p>
        </w:tc>
        <w:tc>
          <w:tcPr>
            <w:tcW w:type="dxa" w:w="226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Establishes contractual foundation for breach of CC&amp;Rs claim.</w:t>
            </w:r>
          </w:p>
        </w:tc>
      </w:tr>
      <w:tr>
        <w:tc>
          <w:tcPr>
            <w:tcW w:type="dxa" w:w="1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Pre-2025</w:t>
            </w:r>
          </w:p>
        </w:tc>
        <w:tc>
          <w:tcPr>
            <w:tcW w:type="dxa" w:w="32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HOA previously self-managed. At some point, California HOA Solutions LLC (Sabawoon Shewa, CEO; Joshua Ochoa, General Manager) retained as property manager.</w:t>
            </w:r>
          </w:p>
        </w:tc>
        <w:tc>
          <w:tcPr>
            <w:tcW w:type="dxa" w:w="24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Correspondence; management contract (demanded via § 5200)</w:t>
            </w:r>
          </w:p>
        </w:tc>
        <w:tc>
          <w:tcPr>
            <w:tcW w:type="dxa" w:w="226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Management company assumed duty to report and address maintenance issues.</w:t>
            </w:r>
          </w:p>
        </w:tc>
      </w:tr>
      <w:tr>
        <w:tc>
          <w:tcPr>
            <w:tcW w:type="dxa" w:w="1500"/>
            <w:tcBorders>
              <w:top w:val="single" w:color="999999" w:sz="1"/>
              <w:left w:val="single" w:color="999999" w:sz="1"/>
              <w:bottom w:val="single" w:color="999999" w:sz="1"/>
              <w:right w:val="single" w:color="999999" w:sz="1"/>
            </w:tcBorders>
            <w:shd w:fill="FFF3CD"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01/01/2025</w:t>
            </w:r>
          </w:p>
        </w:tc>
        <w:tc>
          <w:tcPr>
            <w:tcW w:type="dxa" w:w="3200"/>
            <w:tcBorders>
              <w:top w:val="single" w:color="999999" w:sz="1"/>
              <w:left w:val="single" w:color="999999" w:sz="1"/>
              <w:bottom w:val="single" w:color="999999" w:sz="1"/>
              <w:right w:val="single" w:color="999999" w:sz="1"/>
            </w:tcBorders>
            <w:shd w:fill="FFF3CD"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SB 900 takes effect. Civil Code § 5610(b) amended to authorize emergency assessments for threats to personal "health or safety or another hazardous condition."</w:t>
            </w:r>
          </w:p>
        </w:tc>
        <w:tc>
          <w:tcPr>
            <w:tcW w:type="dxa" w:w="2400"/>
            <w:tcBorders>
              <w:top w:val="single" w:color="999999" w:sz="1"/>
              <w:left w:val="single" w:color="999999" w:sz="1"/>
              <w:bottom w:val="single" w:color="999999" w:sz="1"/>
              <w:right w:val="single" w:color="999999" w:sz="1"/>
            </w:tcBorders>
            <w:shd w:fill="FFF3CD"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Cal. Civil Code § 5610(b) (amended)</w:t>
            </w:r>
          </w:p>
        </w:tc>
        <w:tc>
          <w:tcPr>
            <w:tcW w:type="dxa" w:w="2260"/>
            <w:tcBorders>
              <w:top w:val="single" w:color="999999" w:sz="1"/>
              <w:left w:val="single" w:color="999999" w:sz="1"/>
              <w:bottom w:val="single" w:color="999999" w:sz="1"/>
              <w:right w:val="single" w:color="999999" w:sz="1"/>
            </w:tcBorders>
            <w:shd w:fill="FFF3CD"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Board gains explicit statutory authority to bypass membership vote for health-hazard repairs. No action taken.</w:t>
            </w:r>
          </w:p>
        </w:tc>
      </w:tr>
      <w:tr>
        <w:tc>
          <w:tcPr>
            <w:tcW w:type="dxa" w:w="15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04/27/2025</w:t>
            </w:r>
          </w:p>
        </w:tc>
        <w:tc>
          <w:tcPr>
            <w:tcW w:type="dxa" w:w="32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Professional air quality testing conducted in Unit 208 by LA Testing (AIHA-EMLAP Accredited Lab #102814). Samples collected from Hallway HVAC Closet (indoor) and Outside Baseline.</w:t>
            </w:r>
          </w:p>
        </w:tc>
        <w:tc>
          <w:tcPr>
            <w:tcW w:type="dxa" w:w="24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EMSL Order #322508477; Lab Sample Nos. 322508477-0001, -0002</w:t>
            </w:r>
          </w:p>
        </w:tc>
        <w:tc>
          <w:tcPr>
            <w:tcW w:type="dxa" w:w="226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Creates documentary evidence of mold contamination at 3x outdoor levels. Triggers discovery rule for SOL purposes.</w:t>
            </w:r>
          </w:p>
        </w:tc>
      </w:tr>
      <w:tr>
        <w:tc>
          <w:tcPr>
            <w:tcW w:type="dxa" w:w="1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04/28/2025</w:t>
            </w:r>
          </w:p>
        </w:tc>
        <w:tc>
          <w:tcPr>
            <w:tcW w:type="dxa" w:w="32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Samples received by LA Testing laboratory.</w:t>
            </w:r>
          </w:p>
        </w:tc>
        <w:tc>
          <w:tcPr>
            <w:tcW w:type="dxa" w:w="24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EMSL Order #322508477</w:t>
            </w:r>
          </w:p>
        </w:tc>
        <w:tc>
          <w:tcPr>
            <w:tcW w:type="dxa" w:w="226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Chain of custody documented.</w:t>
            </w:r>
          </w:p>
        </w:tc>
      </w:tr>
      <w:tr>
        <w:tc>
          <w:tcPr>
            <w:tcW w:type="dxa" w:w="15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04/30/2025</w:t>
            </w:r>
          </w:p>
        </w:tc>
        <w:tc>
          <w:tcPr>
            <w:tcW w:type="dxa" w:w="32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Laboratory analysis completed. Results: Aspergillus/Penicillium 790 ct/m³ indoors vs. 260 ct/m³ outdoors (3.04x ratio). Hallway ceiling swab positive for Alternaria (Ulocladium).</w:t>
            </w:r>
          </w:p>
        </w:tc>
        <w:tc>
          <w:tcPr>
            <w:tcW w:type="dxa" w:w="24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Test Report (Methods MICRO-SOP-201, ASTM D7391). Analyst: Feng Liang, Laboratory Manager.</w:t>
            </w:r>
          </w:p>
        </w:tc>
        <w:tc>
          <w:tcPr>
            <w:tcW w:type="dxa" w:w="226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Confirmed active indoor mold amplification requiring remediation.</w:t>
            </w:r>
          </w:p>
        </w:tc>
      </w:tr>
      <w:tr>
        <w:tc>
          <w:tcPr>
            <w:tcW w:type="dxa" w:w="15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05/01/2025</w:t>
            </w:r>
          </w:p>
        </w:tc>
        <w:tc>
          <w:tcPr>
            <w:tcW w:type="dxa" w:w="32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Cristina Martinez (Mold &amp; Water Damage Specialist Inc.) delivers test results to Jose. States results are "positive for mold." Warns tenants must be relocated. Warns AC must not be operated. Recommends HVAC insulation testing for mold and asbestos.</w:t>
            </w:r>
          </w:p>
        </w:tc>
        <w:tc>
          <w:tcPr>
            <w:tcW w:type="dxa" w:w="24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Email from Cristina Martinez to Jose Segura</w:t>
            </w:r>
          </w:p>
        </w:tc>
        <w:tc>
          <w:tcPr>
            <w:tcW w:type="dxa" w:w="226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Professional confirmation of uninhabitable conditions. Creates record of health warnings.</w:t>
            </w:r>
          </w:p>
        </w:tc>
      </w:tr>
      <w:tr>
        <w:tc>
          <w:tcPr>
            <w:tcW w:type="dxa" w:w="1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05/01/2025</w:t>
            </w:r>
          </w:p>
        </w:tc>
        <w:tc>
          <w:tcPr>
            <w:tcW w:type="dxa" w:w="32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Test report amended and reissued by LA Testing.</w:t>
            </w:r>
          </w:p>
        </w:tc>
        <w:tc>
          <w:tcPr>
            <w:tcW w:type="dxa" w:w="24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Amended Report (Reason Code: DataEntry-Other)</w:t>
            </w:r>
          </w:p>
        </w:tc>
        <w:tc>
          <w:tcPr>
            <w:tcW w:type="dxa" w:w="226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Final laboratory record.</w:t>
            </w:r>
          </w:p>
        </w:tc>
      </w:tr>
      <w:tr>
        <w:tc>
          <w:tcPr>
            <w:tcW w:type="dxa" w:w="15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[DATE]</w:t>
            </w:r>
          </w:p>
        </w:tc>
        <w:tc>
          <w:tcPr>
            <w:tcW w:type="dxa" w:w="32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Jose’s tenant vacates Unit 208 due to mold conditions.</w:t>
            </w:r>
          </w:p>
        </w:tc>
        <w:tc>
          <w:tcPr>
            <w:tcW w:type="dxa" w:w="24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Lease records; tenant communication (Jose to provide)</w:t>
            </w:r>
          </w:p>
        </w:tc>
        <w:tc>
          <w:tcPr>
            <w:tcW w:type="dxa" w:w="226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Lost rental income begins accruing. Unit becomes uninhabitable.</w:t>
            </w:r>
          </w:p>
        </w:tc>
      </w:tr>
      <w:tr>
        <w:tc>
          <w:tcPr>
            <w:tcW w:type="dxa" w:w="15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10/14/2025</w:t>
            </w:r>
          </w:p>
        </w:tc>
        <w:tc>
          <w:tcPr>
            <w:tcW w:type="dxa" w:w="32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Jose submits written maintenance request to Joshua Ochoa (California HOA Solutions LLC) regarding ceiling leakage and mold. States: "ceiling leakage has gotten much worse over the year. Mold has built up and is becoming a health hazard."</w:t>
            </w:r>
          </w:p>
        </w:tc>
        <w:tc>
          <w:tcPr>
            <w:tcW w:type="dxa" w:w="24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Email from Jose Segura to josh@cahoasolutions.com</w:t>
            </w:r>
          </w:p>
        </w:tc>
        <w:tc>
          <w:tcPr>
            <w:tcW w:type="dxa" w:w="226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CRITICAL: Establishes actual notice to property manager. HOA and management company on notice of health hazard. No action taken.</w:t>
            </w:r>
          </w:p>
        </w:tc>
      </w:tr>
      <w:tr>
        <w:tc>
          <w:tcPr>
            <w:tcW w:type="dxa" w:w="1500"/>
            <w:tcBorders>
              <w:top w:val="single" w:color="999999" w:sz="1"/>
              <w:left w:val="single" w:color="999999" w:sz="1"/>
              <w:bottom w:val="single" w:color="999999" w:sz="1"/>
              <w:right w:val="single" w:color="999999" w:sz="1"/>
            </w:tcBorders>
            <w:shd w:fill="FFF3CD"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[DATE]</w:t>
            </w:r>
          </w:p>
        </w:tc>
        <w:tc>
          <w:tcPr>
            <w:tcW w:type="dxa" w:w="3200"/>
            <w:tcBorders>
              <w:top w:val="single" w:color="999999" w:sz="1"/>
              <w:left w:val="single" w:color="999999" w:sz="1"/>
              <w:bottom w:val="single" w:color="999999" w:sz="1"/>
              <w:right w:val="single" w:color="999999" w:sz="1"/>
            </w:tcBorders>
            <w:shd w:fill="FFF3CD"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HOA membership votes 20-9 against special assessment to repair the roof. 20 unaffected owners outvote 9 affected owners.</w:t>
            </w:r>
          </w:p>
        </w:tc>
        <w:tc>
          <w:tcPr>
            <w:tcW w:type="dxa" w:w="2400"/>
            <w:tcBorders>
              <w:top w:val="single" w:color="999999" w:sz="1"/>
              <w:left w:val="single" w:color="999999" w:sz="1"/>
              <w:bottom w:val="single" w:color="999999" w:sz="1"/>
              <w:right w:val="single" w:color="999999" w:sz="1"/>
            </w:tcBorders>
            <w:shd w:fill="FFF3CD"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Meeting minutes; ballot records (demanded via § 5200)</w:t>
            </w:r>
          </w:p>
        </w:tc>
        <w:tc>
          <w:tcPr>
            <w:tcW w:type="dxa" w:w="2260"/>
            <w:tcBorders>
              <w:top w:val="single" w:color="999999" w:sz="1"/>
              <w:left w:val="single" w:color="999999" w:sz="1"/>
              <w:bottom w:val="single" w:color="999999" w:sz="1"/>
              <w:right w:val="single" w:color="999999" w:sz="1"/>
            </w:tcBorders>
            <w:shd w:fill="FFF3CD"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Vote is legally irrelevant to Association’s § 4775 duty. Board retains emergency authority under § 5610(b).</w:t>
            </w:r>
          </w:p>
        </w:tc>
      </w:tr>
      <w:tr>
        <w:tc>
          <w:tcPr>
            <w:tcW w:type="dxa" w:w="1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11/25/2025</w:t>
            </w:r>
          </w:p>
        </w:tc>
        <w:tc>
          <w:tcPr>
            <w:tcW w:type="dxa" w:w="32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Jose forwards mold documentation to Vince Caruso for legal consultation.</w:t>
            </w:r>
          </w:p>
        </w:tc>
        <w:tc>
          <w:tcPr>
            <w:tcW w:type="dxa" w:w="24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Email chain</w:t>
            </w:r>
          </w:p>
        </w:tc>
        <w:tc>
          <w:tcPr>
            <w:tcW w:type="dxa" w:w="226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Efforts to seek legal help.</w:t>
            </w:r>
          </w:p>
        </w:tc>
      </w:tr>
      <w:tr>
        <w:tc>
          <w:tcPr>
            <w:tcW w:type="dxa" w:w="1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12/01/2025</w:t>
            </w:r>
          </w:p>
        </w:tc>
        <w:tc>
          <w:tcPr>
            <w:tcW w:type="dxa" w:w="32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Jose provides California HOA Solutions contact information to Vince Caruso. Identifies Joshua Ochoa as property manager.</w:t>
            </w:r>
          </w:p>
        </w:tc>
        <w:tc>
          <w:tcPr>
            <w:tcW w:type="dxa" w:w="24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Email from Jose to Vince Caruso</w:t>
            </w:r>
          </w:p>
        </w:tc>
        <w:tc>
          <w:tcPr>
            <w:tcW w:type="dxa" w:w="226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Confirms management company identity.</w:t>
            </w:r>
          </w:p>
        </w:tc>
      </w:tr>
      <w:tr>
        <w:tc>
          <w:tcPr>
            <w:tcW w:type="dxa" w:w="1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01/16/2026</w:t>
            </w:r>
          </w:p>
        </w:tc>
        <w:tc>
          <w:tcPr>
            <w:tcW w:type="dxa" w:w="32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Joshua Ochoa sends Jose the CC&amp;R governing documents for Uniappartment HOA.</w:t>
            </w:r>
          </w:p>
        </w:tc>
        <w:tc>
          <w:tcPr>
            <w:tcW w:type="dxa" w:w="24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Email from josh@cahoasolutions.com to Jose Segura</w:t>
            </w:r>
          </w:p>
        </w:tc>
        <w:tc>
          <w:tcPr>
            <w:tcW w:type="dxa" w:w="226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HOA’s own agent confirms governing document provisions.</w:t>
            </w:r>
          </w:p>
        </w:tc>
      </w:tr>
      <w:tr>
        <w:tc>
          <w:tcPr>
            <w:tcW w:type="dxa" w:w="15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02/06/2026</w:t>
            </w:r>
          </w:p>
        </w:tc>
        <w:tc>
          <w:tcPr>
            <w:tcW w:type="dxa" w:w="32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Mold &amp; Water Damage Specialist Inc. issues Estimate #337 for mold remediation of Unit 208. Total: $17,243.53. Requires removal of entire ceiling in 6 rooms. States: "THE ROOF MUST BE COMPLETELY REPAIRED BEFORE THE MOLD REMEDIATION CLEAN-UP STARTS."</w:t>
            </w:r>
          </w:p>
        </w:tc>
        <w:tc>
          <w:tcPr>
            <w:tcW w:type="dxa" w:w="24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Estimate #337 (5 pages)</w:t>
            </w:r>
          </w:p>
        </w:tc>
        <w:tc>
          <w:tcPr>
            <w:tcW w:type="dxa" w:w="226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Quantifies remediation costs. Confirms remediation impossible without roof repair. Creates urgency evidence.</w:t>
            </w:r>
          </w:p>
        </w:tc>
      </w:tr>
      <w:tr>
        <w:tc>
          <w:tcPr>
            <w:tcW w:type="dxa" w:w="1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03/2026</w:t>
            </w:r>
          </w:p>
        </w:tc>
        <w:tc>
          <w:tcPr>
            <w:tcW w:type="dxa" w:w="32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Vince Caruso consults with attorney Shawn regarding statute of limitations concerns. Consults Ken Spainhour for additional opinion.</w:t>
            </w:r>
          </w:p>
        </w:tc>
        <w:tc>
          <w:tcPr>
            <w:tcW w:type="dxa" w:w="24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Email from Vince to Ken Spainhour (03/03/2026)</w:t>
            </w:r>
          </w:p>
        </w:tc>
        <w:tc>
          <w:tcPr>
            <w:tcW w:type="dxa" w:w="226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Legal team assembling. SOL concerns addressed through continuing nuisance/continuing breach analysis.</w:t>
            </w:r>
          </w:p>
        </w:tc>
      </w:tr>
      <w:tr>
        <w:tc>
          <w:tcPr>
            <w:tcW w:type="dxa" w:w="150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03/__/2026</w:t>
            </w:r>
          </w:p>
        </w:tc>
        <w:tc>
          <w:tcPr>
            <w:tcW w:type="dxa" w:w="320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Demand Letter, IDR Request, and § 5200 Document Demand served on Uniappartment HOA via Certified Mail and Email.</w:t>
            </w:r>
          </w:p>
        </w:tc>
        <w:tc>
          <w:tcPr>
            <w:tcW w:type="dxa" w:w="240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Certified mail receipts; email confirmation</w:t>
            </w:r>
          </w:p>
        </w:tc>
        <w:tc>
          <w:tcPr>
            <w:tcW w:type="dxa" w:w="226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15-day response clock begins. Preservation obligation triggered. IDR requested.</w:t>
            </w:r>
          </w:p>
        </w:tc>
      </w:tr>
      <w:tr>
        <w:tc>
          <w:tcPr>
            <w:tcW w:type="dxa" w:w="150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+15 days</w:t>
            </w:r>
          </w:p>
        </w:tc>
        <w:tc>
          <w:tcPr>
            <w:tcW w:type="dxa" w:w="320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DEADLINE: Association must respond to Demand Letter with written commitment to settlement terms or face litigation.</w:t>
            </w:r>
          </w:p>
        </w:tc>
        <w:tc>
          <w:tcPr>
            <w:tcW w:type="dxa" w:w="240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w:t>
            </w:r>
          </w:p>
        </w:tc>
        <w:tc>
          <w:tcPr>
            <w:tcW w:type="dxa" w:w="226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If no response: file complaint and TRO application.</w:t>
            </w:r>
          </w:p>
        </w:tc>
      </w:tr>
      <w:tr>
        <w:tc>
          <w:tcPr>
            <w:tcW w:type="dxa" w:w="150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+5/10 days</w:t>
            </w:r>
          </w:p>
        </w:tc>
        <w:tc>
          <w:tcPr>
            <w:tcW w:type="dxa" w:w="320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DEADLINE: Association must produce § 5200 records (5 business days onsite / 10 business days offsite).</w:t>
            </w:r>
          </w:p>
        </w:tc>
        <w:tc>
          <w:tcPr>
            <w:tcW w:type="dxa" w:w="240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w:t>
            </w:r>
          </w:p>
        </w:tc>
        <w:tc>
          <w:tcPr>
            <w:tcW w:type="dxa" w:w="2260"/>
            <w:tcBorders>
              <w:top w:val="single" w:color="999999" w:sz="1"/>
              <w:left w:val="single" w:color="999999" w:sz="1"/>
              <w:bottom w:val="single" w:color="999999" w:sz="1"/>
              <w:right w:val="single" w:color="999999" w:sz="1"/>
            </w:tcBorders>
            <w:shd w:fill="D4ED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Non-production triggers § 5235 penalties ($500/request, up to $3,500).</w:t>
            </w:r>
          </w:p>
        </w:tc>
      </w:tr>
      <w:tr>
        <w:tc>
          <w:tcPr>
            <w:tcW w:type="dxa" w:w="15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bCs/>
                <w:sz w:val="20"/>
                <w:szCs w:val="20"/>
              </w:rPr>
              <w:t xml:space="preserve">04/27/2027</w:t>
            </w:r>
          </w:p>
        </w:tc>
        <w:tc>
          <w:tcPr>
            <w:tcW w:type="dxa" w:w="32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STATUTE OF LIMITATIONS: Personal injury / negligence claims (CCP § 335.1, 2 years from discovery).</w:t>
            </w:r>
          </w:p>
        </w:tc>
        <w:tc>
          <w:tcPr>
            <w:tcW w:type="dxa" w:w="240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w:t>
            </w:r>
          </w:p>
        </w:tc>
        <w:tc>
          <w:tcPr>
            <w:tcW w:type="dxa" w:w="2260"/>
            <w:tcBorders>
              <w:top w:val="single" w:color="999999" w:sz="1"/>
              <w:left w:val="single" w:color="999999" w:sz="1"/>
              <w:bottom w:val="single" w:color="999999" w:sz="1"/>
              <w:right w:val="single" w:color="999999" w:sz="1"/>
            </w:tcBorders>
            <w:shd w:fill="F8D7DA" w:val="clear"/>
            <w:tcMar>
              <w:top w:type="dxa" w:w="60"/>
              <w:left w:type="dxa" w:w="80"/>
              <w:bottom w:type="dxa" w:w="60"/>
              <w:right w:type="dxa" w:w="80"/>
            </w:tcMar>
          </w:tcPr>
          <w:p>
            <w:pPr>
              <w:spacing w:after="0"/>
            </w:pPr>
            <w:r>
              <w:rPr>
                <w:rFonts w:ascii="Times New Roman" w:cs="Times New Roman" w:eastAsia="Times New Roman" w:hAnsi="Times New Roman"/>
                <w:b w:val="false"/>
                <w:bCs w:val="false"/>
                <w:sz w:val="20"/>
                <w:szCs w:val="20"/>
              </w:rPr>
              <w:t xml:space="preserve">CRITICAL OUTER DEADLINE. Must file before this date for tort claims.</w:t>
            </w:r>
          </w:p>
        </w:tc>
      </w:tr>
    </w:tbl>
    <w:p>
      <w:pPr>
        <w:spacing w:after="400" w:before="0" w:line="276" w:lineRule="auto"/>
        <w:jc w:val="left"/>
      </w:pPr>
      <w:r>
        <w:rPr>
          <w:rFonts w:ascii="Times New Roman" w:cs="Times New Roman" w:eastAsia="Times New Roman" w:hAnsi="Times New Roman"/>
          <w:b w:val="false"/>
          <w:bCs w:val="false"/>
          <w:i w:val="false"/>
          <w:iCs w:val="false"/>
          <w:sz w:val="24"/>
          <w:szCs w:val="24"/>
        </w:rPr>
        <w:t xml:space="preserve"/>
      </w:r>
    </w:p>
    <w:p>
      <w:pPr>
        <w:spacing w:after="200" w:before="0" w:line="276" w:lineRule="auto"/>
        <w:jc w:val="left"/>
        <w:keepNext/>
      </w:pPr>
      <w:r>
        <w:rPr>
          <w:rFonts w:ascii="Times New Roman" w:cs="Times New Roman" w:eastAsia="Times New Roman" w:hAnsi="Times New Roman"/>
          <w:b/>
          <w:bCs/>
          <w:sz w:val="20"/>
          <w:szCs w:val="20"/>
        </w:rPr>
        <w:t xml:space="preserve">KEY: </w:t>
      </w:r>
      <w:r>
        <w:rPr>
          <w:rFonts w:ascii="Times New Roman" w:cs="Times New Roman" w:eastAsia="Times New Roman" w:hAnsi="Times New Roman"/>
          <w:color w:val="F8D7DA"/>
          <w:sz w:val="20"/>
          <w:szCs w:val="20"/>
        </w:rPr>
        <w:t xml:space="preserve">█</w:t>
      </w:r>
      <w:r>
        <w:rPr>
          <w:rFonts w:ascii="Times New Roman" w:cs="Times New Roman" w:eastAsia="Times New Roman" w:hAnsi="Times New Roman"/>
          <w:sz w:val="20"/>
          <w:szCs w:val="20"/>
        </w:rPr>
        <w:t xml:space="preserve"> Critical adverse event  </w:t>
      </w:r>
      <w:r>
        <w:rPr>
          <w:rFonts w:ascii="Times New Roman" w:cs="Times New Roman" w:eastAsia="Times New Roman" w:hAnsi="Times New Roman"/>
          <w:color w:val="FFF3CD"/>
          <w:sz w:val="20"/>
          <w:szCs w:val="20"/>
        </w:rPr>
        <w:t xml:space="preserve">█</w:t>
      </w:r>
      <w:r>
        <w:rPr>
          <w:rFonts w:ascii="Times New Roman" w:cs="Times New Roman" w:eastAsia="Times New Roman" w:hAnsi="Times New Roman"/>
          <w:sz w:val="20"/>
          <w:szCs w:val="20"/>
        </w:rPr>
        <w:t xml:space="preserve"> Legal development  </w:t>
      </w:r>
      <w:r>
        <w:rPr>
          <w:rFonts w:ascii="Times New Roman" w:cs="Times New Roman" w:eastAsia="Times New Roman" w:hAnsi="Times New Roman"/>
          <w:color w:val="D4EDDA"/>
          <w:sz w:val="20"/>
          <w:szCs w:val="20"/>
        </w:rPr>
        <w:t xml:space="preserve">█</w:t>
      </w:r>
      <w:r>
        <w:rPr>
          <w:rFonts w:ascii="Times New Roman" w:cs="Times New Roman" w:eastAsia="Times New Roman" w:hAnsi="Times New Roman"/>
          <w:sz w:val="20"/>
          <w:szCs w:val="20"/>
        </w:rPr>
        <w:t xml:space="preserve"> Action item / deadline</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
      </w:r>
    </w:p>
    <w:p>
      <w:pPr>
        <w:spacing w:after="200" w:before="0" w:line="276" w:lineRule="auto"/>
        <w:jc w:val="left"/>
        <w:keepNext/>
      </w:pPr>
      <w:r>
        <w:rPr>
          <w:rFonts w:ascii="Times New Roman" w:cs="Times New Roman" w:eastAsia="Times New Roman" w:hAnsi="Times New Roman"/>
          <w:b/>
          <w:bCs/>
          <w:sz w:val="20"/>
          <w:szCs w:val="20"/>
        </w:rPr>
        <w:t xml:space="preserve">DOCUMENT PREPARED BY: </w:t>
      </w:r>
      <w:r>
        <w:rPr>
          <w:rFonts w:ascii="Times New Roman" w:cs="Times New Roman" w:eastAsia="Times New Roman" w:hAnsi="Times New Roman"/>
          <w:sz w:val="20"/>
          <w:szCs w:val="20"/>
        </w:rPr>
        <w:t xml:space="preserve">Day 7 Public Benefit Corporation / Legal Consulting Division</w:t>
      </w:r>
    </w:p>
    <w:p>
      <w:pPr>
        <w:spacing w:after="200" w:before="0" w:line="276" w:lineRule="auto"/>
        <w:jc w:val="left"/>
        <w:keepNext/>
      </w:pPr>
      <w:r>
        <w:rPr>
          <w:rFonts w:ascii="Times New Roman" w:cs="Times New Roman" w:eastAsia="Times New Roman" w:hAnsi="Times New Roman"/>
          <w:b/>
          <w:bCs/>
          <w:sz w:val="20"/>
          <w:szCs w:val="20"/>
        </w:rPr>
        <w:t xml:space="preserve">FOR: </w:t>
      </w:r>
      <w:r>
        <w:rPr>
          <w:rFonts w:ascii="Times New Roman" w:cs="Times New Roman" w:eastAsia="Times New Roman" w:hAnsi="Times New Roman"/>
          <w:sz w:val="20"/>
          <w:szCs w:val="20"/>
        </w:rPr>
        <w:t xml:space="preserve">Vince Caruso, Consulting Attorney</w:t>
      </w:r>
    </w:p>
    <w:p>
      <w:pPr>
        <w:spacing w:after="200" w:before="0" w:line="276" w:lineRule="auto"/>
        <w:jc w:val="left"/>
        <w:keepNext/>
      </w:pPr>
      <w:r>
        <w:rPr>
          <w:rFonts w:ascii="Times New Roman" w:cs="Times New Roman" w:eastAsia="Times New Roman" w:hAnsi="Times New Roman"/>
          <w:b/>
          <w:bCs/>
          <w:sz w:val="20"/>
          <w:szCs w:val="20"/>
        </w:rPr>
        <w:t xml:space="preserve">DATE: </w:t>
      </w:r>
      <w:r>
        <w:rPr>
          <w:rFonts w:ascii="Times New Roman" w:cs="Times New Roman" w:eastAsia="Times New Roman" w:hAnsi="Times New Roman"/>
          <w:sz w:val="20"/>
          <w:szCs w:val="20"/>
        </w:rPr>
        <w:t xml:space="preserve">March 2026</w:t>
      </w:r>
    </w:p>
    <w:p>
      <w:pPr>
        <w:spacing w:after="200" w:before="0" w:line="276" w:lineRule="auto"/>
        <w:jc w:val="left"/>
      </w:pPr>
      <w:r>
        <w:rPr>
          <w:rFonts w:ascii="Times New Roman" w:cs="Times New Roman" w:eastAsia="Times New Roman" w:hAnsi="Times New Roman"/>
          <w:i/>
          <w:iCs/>
          <w:sz w:val="20"/>
          <w:szCs w:val="20"/>
        </w:rPr>
        <w:t xml:space="preserve">This timeline is a working document and should be updated as new facts emerge. Dates marked with [DATE] require confirmation from Jose Segura.</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2026-03-22T21:32:49.811Z</dcterms:created>
  <dcterms:modified xsi:type="dcterms:W3CDTF">2026-03-22T21:32:49.812Z</dcterms:modified>
</cp:coreProperties>
</file>

<file path=docProps/custom.xml><?xml version="1.0" encoding="utf-8"?>
<Properties xmlns="http://schemas.openxmlformats.org/officeDocument/2006/custom-properties" xmlns:vt="http://schemas.openxmlformats.org/officeDocument/2006/docPropsVTypes"/>
</file>