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line="276" w:lineRule="auto"/>
        <w:jc w:val="center"/>
        <w:keepNext/>
      </w:pPr>
      <w:r>
        <w:rPr>
          <w:rFonts w:ascii="Times New Roman" w:cs="Times New Roman" w:eastAsia="Times New Roman" w:hAnsi="Times New Roman"/>
          <w:b/>
          <w:bCs/>
          <w:i w:val="false"/>
          <w:iCs w:val="false"/>
          <w:sz w:val="32"/>
          <w:szCs w:val="32"/>
        </w:rPr>
        <w:t xml:space="preserve">STRATEGIC LITIGATION AND RESOLUTION PLAN</w:t>
      </w:r>
    </w:p>
    <w:p>
      <w:pPr>
        <w:spacing w:after="60" w:before="0" w:line="276" w:lineRule="auto"/>
        <w:jc w:val="center"/>
      </w:pPr>
      <w:r>
        <w:rPr>
          <w:rFonts w:ascii="Times New Roman" w:cs="Times New Roman" w:eastAsia="Times New Roman" w:hAnsi="Times New Roman"/>
          <w:b w:val="false"/>
          <w:bCs w:val="false"/>
          <w:i/>
          <w:iCs/>
          <w:sz w:val="28"/>
          <w:szCs w:val="28"/>
        </w:rPr>
        <w:t xml:space="preserve">Segura v. Uniappartment Homeowners Association</w:t>
      </w:r>
    </w:p>
    <w:p>
      <w:pPr>
        <w:spacing w:after="60" w:before="0" w:line="276" w:lineRule="auto"/>
        <w:jc w:val="center"/>
        <w:keepNext/>
      </w:pPr>
      <w:r>
        <w:rPr>
          <w:rFonts w:ascii="Times New Roman" w:cs="Times New Roman" w:eastAsia="Times New Roman" w:hAnsi="Times New Roman"/>
          <w:b/>
          <w:bCs/>
          <w:i w:val="false"/>
          <w:iCs w:val="false"/>
          <w:sz w:val="20"/>
          <w:szCs w:val="20"/>
        </w:rPr>
        <w:t xml:space="preserve">CONFIDENTIAL — ATTORNEY-CLIENT WORK PRODUCT</w:t>
      </w:r>
    </w:p>
    <w:p>
      <w:pPr>
        <w:spacing w:after="400" w:before="0" w:line="276" w:lineRule="auto"/>
        <w:jc w:val="center"/>
      </w:pPr>
      <w:r>
        <w:rPr>
          <w:rFonts w:ascii="Times New Roman" w:cs="Times New Roman" w:eastAsia="Times New Roman" w:hAnsi="Times New Roman"/>
          <w:b w:val="false"/>
          <w:bCs w:val="false"/>
          <w:i w:val="false"/>
          <w:iCs w:val="false"/>
          <w:sz w:val="20"/>
          <w:szCs w:val="20"/>
        </w:rPr>
        <w:t xml:space="preserve">Prepared for Vince Caruso</w:t>
      </w:r>
    </w:p>
    <w:p>
      <w:pPr>
        <w:pBdr>
          <w:bottom w:val="single" w:color="000000" w:sz="6" w:space="1"/>
        </w:pBdr>
        <w:spacing w:after="300" w:line="276" w:lineRule="auto"/>
      </w:pPr>
    </w:p>
    <w:p>
      <w:pPr>
        <w:spacing w:before="480" w:after="240" w:line="276" w:lineRule="auto"/>
        <w:jc w:val="center"/>
        <w:keepNext/>
      </w:pPr>
      <w:r>
        <w:rPr>
          <w:rFonts w:ascii="Times New Roman" w:cs="Times New Roman" w:eastAsia="Times New Roman" w:hAnsi="Times New Roman"/>
          <w:b/>
          <w:bCs/>
          <w:sz w:val="28"/>
          <w:szCs w:val="28"/>
        </w:rPr>
        <w:t xml:space="preserve">EXECUTIVE SUMMARY</w:t>
      </w:r>
    </w:p>
    <w:p>
      <w:pPr>
        <w:spacing w:after="200" w:before="0" w:line="276" w:lineRule="auto"/>
        <w:jc w:val="both"/>
        <w:keepNext/>
      </w:pPr>
      <w:r>
        <w:rPr>
          <w:rFonts w:ascii="Times New Roman" w:cs="Times New Roman" w:eastAsia="Times New Roman" w:hAnsi="Times New Roman"/>
          <w:sz w:val="24"/>
          <w:szCs w:val="24"/>
        </w:rPr>
        <w:t xml:space="preserve">Jose Segura holds a strong multi-front legal position against Uniappartment Homeowners Association, its Board of Directors, and its property management company (California HOA Solutions LLC). The Association has a </w:t>
      </w:r>
      <w:r>
        <w:rPr>
          <w:rFonts w:ascii="Times New Roman" w:cs="Times New Roman" w:eastAsia="Times New Roman" w:hAnsi="Times New Roman"/>
          <w:b/>
          <w:bCs/>
          <w:sz w:val="24"/>
          <w:szCs w:val="24"/>
        </w:rPr>
        <w:t xml:space="preserve">mandatory, non-discretionary statutory duty</w:t>
      </w:r>
      <w:r>
        <w:rPr>
          <w:rFonts w:ascii="Times New Roman" w:cs="Times New Roman" w:eastAsia="Times New Roman" w:hAnsi="Times New Roman"/>
          <w:sz w:val="24"/>
          <w:szCs w:val="24"/>
        </w:rPr>
        <w:t xml:space="preserve"> under Civil Code § 4775 and its own CC&amp;Rs (Article III, § 6(A)) to maintain the roof — a common area component. The failed 20-9 membership vote is legally irrelevant to this obligation. SB 900, effective January 1, 2025, gives the Board emergency assessment authority without any member vote for health hazards including mold. The Board’s failure to exercise this authority despite documented mold contamination at 3x outdoor levels constitutes evidence of bad faith. </w:t>
      </w:r>
      <w:r>
        <w:rPr>
          <w:rFonts w:ascii="Times New Roman" w:cs="Times New Roman" w:eastAsia="Times New Roman" w:hAnsi="Times New Roman"/>
          <w:i/>
          <w:iCs/>
          <w:sz w:val="24"/>
          <w:szCs w:val="24"/>
        </w:rPr>
        <w:t xml:space="preserve">Ridley v. Rancho Palma Grande HOA</w:t>
      </w:r>
      <w:r>
        <w:rPr>
          <w:rFonts w:ascii="Times New Roman" w:cs="Times New Roman" w:eastAsia="Times New Roman" w:hAnsi="Times New Roman"/>
          <w:sz w:val="24"/>
          <w:szCs w:val="24"/>
        </w:rPr>
        <w:t xml:space="preserve"> (Cal. Ct. App. 2025) affirmed a $1.8 million judgment on nearly identical facts, including punitive damages against both the HOA entity and its board president personally.</w:t>
      </w:r>
    </w:p>
    <w:p>
      <w:pPr>
        <w:spacing w:after="200" w:before="0" w:line="276" w:lineRule="auto"/>
        <w:jc w:val="both"/>
        <w:keepNext/>
      </w:pPr>
      <w:r>
        <w:rPr>
          <w:rFonts w:ascii="Times New Roman" w:cs="Times New Roman" w:eastAsia="Times New Roman" w:hAnsi="Times New Roman"/>
          <w:b/>
          <w:bCs/>
          <w:sz w:val="24"/>
          <w:szCs w:val="24"/>
        </w:rPr>
        <w:t xml:space="preserve">Bottom line for Vince:</w:t>
      </w:r>
      <w:r>
        <w:rPr>
          <w:rFonts w:ascii="Times New Roman" w:cs="Times New Roman" w:eastAsia="Times New Roman" w:hAnsi="Times New Roman"/>
          <w:sz w:val="24"/>
          <w:szCs w:val="24"/>
        </w:rPr>
        <w:t xml:space="preserve"> This case is strong enough that a qualified California HOA attorney should take it on contingency, given the mandatory attorney fee provision under Civil Code § 5975(c). The recommended strategy is a phased approach: demand letter and IDR first, then ADR if needed, then litigation with a TRO application to compel emergency repairs. Total estimated damages for Unit 208 alone range from $139K to $767K. If the other 8 affected owners join as co-plaintiffs, aggregate exposure reaches into the millions.</w:t>
      </w:r>
    </w:p>
    <w:p>
      <w:pPr>
        <w:spacing w:after="200" w:before="0" w:line="276" w:lineRule="auto"/>
        <w:jc w:val="both"/>
        <w:keepNext/>
      </w:pPr>
      <w:r>
        <w:rPr>
          <w:rFonts w:ascii="Times New Roman" w:cs="Times New Roman" w:eastAsia="Times New Roman" w:hAnsi="Times New Roman"/>
          <w:b/>
          <w:bCs/>
          <w:sz w:val="24"/>
          <w:szCs w:val="24"/>
        </w:rPr>
        <w:t xml:space="preserve">Shawn’s SOL concern is addressed:</w:t>
      </w:r>
      <w:r>
        <w:rPr>
          <w:rFonts w:ascii="Times New Roman" w:cs="Times New Roman" w:eastAsia="Times New Roman" w:hAnsi="Times New Roman"/>
          <w:sz w:val="24"/>
          <w:szCs w:val="24"/>
        </w:rPr>
        <w:t xml:space="preserve"> The strongest claims carry 5-year statutes of limitations (breach of CC&amp;Rs under CCP § 336(b)), and the continuing nuisance theory under </w:t>
      </w:r>
      <w:r>
        <w:rPr>
          <w:rFonts w:ascii="Times New Roman" w:cs="Times New Roman" w:eastAsia="Times New Roman" w:hAnsi="Times New Roman"/>
          <w:i/>
          <w:iCs/>
          <w:sz w:val="24"/>
          <w:szCs w:val="24"/>
        </w:rPr>
        <w:t xml:space="preserve">Baker v. Burbank-Glendale-Pasadena Airport Authority</w:t>
      </w:r>
      <w:r>
        <w:rPr>
          <w:rFonts w:ascii="Times New Roman" w:cs="Times New Roman" w:eastAsia="Times New Roman" w:hAnsi="Times New Roman"/>
          <w:sz w:val="24"/>
          <w:szCs w:val="24"/>
        </w:rPr>
        <w:t xml:space="preserve"> (1985) 39 Cal.3d 862 means each day the roof leaks creates a new cause of action. The personal injury SOL (2 years, CCP § 335.1) is the tightest deadline at approximately April 27, 2027 — still 13 months away. No claims are currently time-barred.</w:t>
      </w:r>
    </w:p>
    <w:p>
      <w:pPr>
        <w:spacing w:before="480" w:after="240" w:line="276" w:lineRule="auto"/>
        <w:jc w:val="center"/>
        <w:keepNext/>
      </w:pPr>
      <w:r>
        <w:rPr>
          <w:rFonts w:ascii="Times New Roman" w:cs="Times New Roman" w:eastAsia="Times New Roman" w:hAnsi="Times New Roman"/>
          <w:b/>
          <w:bCs/>
          <w:sz w:val="28"/>
          <w:szCs w:val="28"/>
        </w:rPr>
        <w:t xml:space="preserve">PHASE 1: INTELLIGENCE GATHERING AND DEMAND</w:t>
      </w:r>
    </w:p>
    <w:p>
      <w:pPr>
        <w:spacing w:after="100" w:before="0" w:line="276" w:lineRule="auto"/>
        <w:jc w:val="both"/>
        <w:keepNext/>
      </w:pPr>
      <w:r>
        <w:rPr>
          <w:rFonts w:ascii="Times New Roman" w:cs="Times New Roman" w:eastAsia="Times New Roman" w:hAnsi="Times New Roman"/>
          <w:b/>
          <w:bCs/>
          <w:sz w:val="24"/>
          <w:szCs w:val="24"/>
        </w:rPr>
        <w:t xml:space="preserve">Timeline: Days 1-15</w:t>
      </w:r>
    </w:p>
    <w:p>
      <w:pPr>
        <w:spacing w:before="240" w:after="160" w:line="276" w:lineRule="auto"/>
        <w:keepNext/>
      </w:pPr>
      <w:r>
        <w:rPr>
          <w:rFonts w:ascii="Times New Roman" w:cs="Times New Roman" w:eastAsia="Times New Roman" w:hAnsi="Times New Roman"/>
          <w:b/>
          <w:bCs/>
          <w:i/>
          <w:iCs/>
          <w:sz w:val="24"/>
          <w:szCs w:val="24"/>
        </w:rPr>
        <w:t xml:space="preserve">Step 1: Jose Fills In Document Blanks (Day 1)</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Before anything ships, Jose needs to provide the following verified information to complete the demand letter: (a) his monthly mortgage payment amount; (b) his previous monthly rental income; (c) the exact date his tenant vacated; (d) the cost he paid for the mold testing; (e) any other documented out-of-pocket expenses. These numbers go into the demand letter’s settlement proposal and the damages calculation.</w:t>
      </w:r>
    </w:p>
    <w:p>
      <w:pPr>
        <w:spacing w:before="240" w:after="160" w:line="276" w:lineRule="auto"/>
        <w:keepNext/>
      </w:pPr>
      <w:r>
        <w:rPr>
          <w:rFonts w:ascii="Times New Roman" w:cs="Times New Roman" w:eastAsia="Times New Roman" w:hAnsi="Times New Roman"/>
          <w:b/>
          <w:bCs/>
          <w:i/>
          <w:iCs/>
          <w:sz w:val="24"/>
          <w:szCs w:val="24"/>
        </w:rPr>
        <w:t xml:space="preserve">Step 2: Entity Verification (Day 1-2)</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Search the California Secretary of State Business Search (bizfileonline.sos.ca.gov) for the exact legal name, entity number, status (Active/Suspended/Dissolved), agent for service of process, and current officers of Uniappartment Homeowners Association. Also verify California HOA Solutions LLC (Entity No. 201930310151, CEO Sabawoon Shewa). If the HOA’s corporate status is suspended by the Secretary of State or the Franchise Tax Board, that is a nuclear finding — a suspended corporation cannot collect assessments, enforce CC&amp;Rs, sue, or defend lawsuits. It would fundamentally change the litigation strategy.</w:t>
      </w:r>
    </w:p>
    <w:p>
      <w:pPr>
        <w:spacing w:before="240" w:after="160" w:line="276" w:lineRule="auto"/>
        <w:keepNext/>
      </w:pPr>
      <w:r>
        <w:rPr>
          <w:rFonts w:ascii="Times New Roman" w:cs="Times New Roman" w:eastAsia="Times New Roman" w:hAnsi="Times New Roman"/>
          <w:b/>
          <w:bCs/>
          <w:i/>
          <w:iCs/>
          <w:sz w:val="24"/>
          <w:szCs w:val="24"/>
        </w:rPr>
        <w:t xml:space="preserve">Step 3: Serve the Package (Day 2-3)</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Send both documents — the Demand Letter with IDR Request and the § 5200 Document Demand — via Certified Mail Return Receipt Requested to the HOA c/o California HOA Solutions LLC at 5850 Canoga Ave, Suite 400, Los Angeles, CA 91367. Simultaneously email both documents to josh@cahoasolutions.com. If the Association has a separate official address (such as 15516 Nordhoff St), send a copy there too. Keep all certified mail receipts and email delivery confirmations. The 15-day response clock and the 5/10-day document production clock start upon receipt.</w:t>
      </w:r>
    </w:p>
    <w:p>
      <w:pPr>
        <w:spacing w:before="240" w:after="160" w:line="276" w:lineRule="auto"/>
        <w:keepNext/>
      </w:pPr>
      <w:r>
        <w:rPr>
          <w:rFonts w:ascii="Times New Roman" w:cs="Times New Roman" w:eastAsia="Times New Roman" w:hAnsi="Times New Roman"/>
          <w:b/>
          <w:bCs/>
          <w:i/>
          <w:iCs/>
          <w:sz w:val="24"/>
          <w:szCs w:val="24"/>
        </w:rPr>
        <w:t xml:space="preserve">Step 4: File Regulatory Complaints (Days 3-5)</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File complaints simultaneously with: (a) LA County Department of Public Health — mold/habitability complaint, call (888) 700-9995 or file online; (b) City of LA Housing Department (LAHD) — habitability complaint, call (866) 557-7368; (c) LADBS — building code violation for chronic water intrusion. These create independent government pressure. If a government inspector visits and issues a violation notice or order to correct, that becomes powerful evidence in the civil case and may independently trigger the Board’s emergency assessment authority under § 5610(a) (court or government order).</w:t>
      </w:r>
    </w:p>
    <w:p>
      <w:pPr>
        <w:spacing w:before="240" w:after="160" w:line="276" w:lineRule="auto"/>
        <w:keepNext/>
      </w:pPr>
      <w:r>
        <w:rPr>
          <w:rFonts w:ascii="Times New Roman" w:cs="Times New Roman" w:eastAsia="Times New Roman" w:hAnsi="Times New Roman"/>
          <w:b/>
          <w:bCs/>
          <w:i/>
          <w:iCs/>
          <w:sz w:val="24"/>
          <w:szCs w:val="24"/>
        </w:rPr>
        <w:t xml:space="preserve">Step 5: Monitor and Document (Days 3-15)</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Document everything. Photograph the ceiling damage weekly showing progression. Save all communications. If it rains, photograph the active leaking. If the HOA or management company responds to the demand letter, save every word. If they don’t respond, that silence is evidence of bad faith. If the § 5200 records are produced, review them immediately — the reserve studies, board minutes, and insurance policies will reveal critical information about what the Board knew, when they knew it, and what they chose not to do.</w:t>
      </w:r>
    </w:p>
    <w:p>
      <w:pPr>
        <w:spacing w:before="480" w:after="240" w:line="276" w:lineRule="auto"/>
        <w:jc w:val="center"/>
        <w:keepNext/>
      </w:pPr>
      <w:r>
        <w:rPr>
          <w:rFonts w:ascii="Times New Roman" w:cs="Times New Roman" w:eastAsia="Times New Roman" w:hAnsi="Times New Roman"/>
          <w:b/>
          <w:bCs/>
          <w:sz w:val="28"/>
          <w:szCs w:val="28"/>
        </w:rPr>
        <w:t xml:space="preserve">PHASE 2: ADR AND ATTORNEY ENGAGEMENT</w:t>
      </w:r>
    </w:p>
    <w:p>
      <w:pPr>
        <w:spacing w:after="100" w:before="0" w:line="276" w:lineRule="auto"/>
        <w:jc w:val="both"/>
        <w:keepNext/>
      </w:pPr>
      <w:r>
        <w:rPr>
          <w:rFonts w:ascii="Times New Roman" w:cs="Times New Roman" w:eastAsia="Times New Roman" w:hAnsi="Times New Roman"/>
          <w:b/>
          <w:bCs/>
          <w:sz w:val="24"/>
          <w:szCs w:val="24"/>
        </w:rPr>
        <w:t xml:space="preserve">Timeline: Days 15-60</w:t>
      </w:r>
    </w:p>
    <w:p>
      <w:pPr>
        <w:spacing w:before="240" w:after="160" w:line="276" w:lineRule="auto"/>
        <w:keepNext/>
      </w:pPr>
      <w:r>
        <w:rPr>
          <w:rFonts w:ascii="Times New Roman" w:cs="Times New Roman" w:eastAsia="Times New Roman" w:hAnsi="Times New Roman"/>
          <w:b/>
          <w:bCs/>
          <w:i/>
          <w:iCs/>
          <w:sz w:val="24"/>
          <w:szCs w:val="24"/>
        </w:rPr>
        <w:t xml:space="preserve">Step 6: Evaluate Response (Day 15)</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Three possible outcomes: (a) The Board accepts the settlement terms and commits to emergency roof repair — best case, Jose wins without litigation; (b) The Board responds with a counteroffer — negotiate in good faith, this is what IDR is for; (c) The Board ignores the demand or rejects it without a reasonable alternative — proceed to formal ADR and attorney engagement.</w:t>
      </w:r>
    </w:p>
    <w:p>
      <w:pPr>
        <w:spacing w:before="240" w:after="160" w:line="276" w:lineRule="auto"/>
        <w:keepNext/>
      </w:pPr>
      <w:r>
        <w:rPr>
          <w:rFonts w:ascii="Times New Roman" w:cs="Times New Roman" w:eastAsia="Times New Roman" w:hAnsi="Times New Roman"/>
          <w:b/>
          <w:bCs/>
          <w:i/>
          <w:iCs/>
          <w:sz w:val="24"/>
          <w:szCs w:val="24"/>
        </w:rPr>
        <w:t xml:space="preserve">Step 7: Engage HOA Litigation Attorney (Days 15-30)</w:t>
      </w:r>
    </w:p>
    <w:p>
      <w:pPr>
        <w:spacing w:after="200" w:before="0" w:line="276" w:lineRule="auto"/>
        <w:jc w:val="both"/>
      </w:pPr>
      <w:r>
        <w:rPr>
          <w:rFonts w:ascii="Times New Roman" w:cs="Times New Roman" w:eastAsia="Times New Roman" w:hAnsi="Times New Roman"/>
          <w:sz w:val="24"/>
          <w:szCs w:val="24"/>
        </w:rPr>
        <w:t xml:space="preserve">If settlement doesn’t happen in Phase 1, Jose needs a California attorney who specializes in HOA litigation. The § 5975(c) mandatory fee-shifting provision makes this case attractive for contingency representation. Recommended approach: contact 3-5 HOA litigation firms in the Los Angeles area. Key firms to research include LS Carlson Law (they publish extensively on HOA disputes), SwedelsonGottlieb (leading California HOA firm), Tinnelly Law Group (publishers of FindHOALaw), and any firms that handled cases similar to </w:t>
      </w:r>
      <w:r>
        <w:rPr>
          <w:rFonts w:ascii="Times New Roman" w:cs="Times New Roman" w:eastAsia="Times New Roman" w:hAnsi="Times New Roman"/>
          <w:i/>
          <w:iCs/>
          <w:sz w:val="24"/>
          <w:szCs w:val="24"/>
        </w:rPr>
        <w:t xml:space="preserve">Ridley.</w:t>
      </w:r>
      <w:r>
        <w:rPr>
          <w:rFonts w:ascii="Times New Roman" w:cs="Times New Roman" w:eastAsia="Times New Roman" w:hAnsi="Times New Roman"/>
          <w:sz w:val="24"/>
          <w:szCs w:val="24"/>
        </w:rPr>
        <w:t xml:space="preserve"> Provide each firm with the complete package: demand letter, § 5200 demand, timeline, test results, remediation estimate, and CC&amp;Rs.</w:t>
      </w:r>
    </w:p>
    <w:p>
      <w:pPr>
        <w:spacing w:before="240" w:after="160" w:line="276" w:lineRule="auto"/>
        <w:keepNext/>
      </w:pPr>
      <w:r>
        <w:rPr>
          <w:rFonts w:ascii="Times New Roman" w:cs="Times New Roman" w:eastAsia="Times New Roman" w:hAnsi="Times New Roman"/>
          <w:b/>
          <w:bCs/>
          <w:i/>
          <w:iCs/>
          <w:sz w:val="24"/>
          <w:szCs w:val="24"/>
        </w:rPr>
        <w:t xml:space="preserve">Step 8: Serve ADR Request for Resolution (Day 30)</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If IDR has not resolved the matter, serve a formal Request for Resolution under Civil Code § 5935 initiating the ADR process. The Request must include: a brief description of the dispute, a request for ADR, notice that the HOA has 30 days to respond or the request is deemed rejected, and a copy of the statute. The SOL is tolled under § 5945 during the pendency of the ADR request. If the HOA rejects ADR or fails to respond within 30 days, Jose has satisfied the § 5930 prerequisite and can proceed to file suit in superior court.</w:t>
      </w:r>
    </w:p>
    <w:p>
      <w:pPr>
        <w:spacing w:before="480" w:after="240" w:line="276" w:lineRule="auto"/>
        <w:jc w:val="center"/>
        <w:keepNext/>
      </w:pPr>
      <w:r>
        <w:rPr>
          <w:rFonts w:ascii="Times New Roman" w:cs="Times New Roman" w:eastAsia="Times New Roman" w:hAnsi="Times New Roman"/>
          <w:b/>
          <w:bCs/>
          <w:sz w:val="28"/>
          <w:szCs w:val="28"/>
        </w:rPr>
        <w:t xml:space="preserve">PHASE 3: LITIGATION</w:t>
      </w:r>
    </w:p>
    <w:p>
      <w:pPr>
        <w:spacing w:after="100" w:before="0" w:line="276" w:lineRule="auto"/>
        <w:jc w:val="both"/>
        <w:keepNext/>
      </w:pPr>
      <w:r>
        <w:rPr>
          <w:rFonts w:ascii="Times New Roman" w:cs="Times New Roman" w:eastAsia="Times New Roman" w:hAnsi="Times New Roman"/>
          <w:b/>
          <w:bCs/>
          <w:sz w:val="24"/>
          <w:szCs w:val="24"/>
        </w:rPr>
        <w:t xml:space="preserve">Timeline: Days 60+</w:t>
      </w:r>
    </w:p>
    <w:p>
      <w:pPr>
        <w:spacing w:before="240" w:after="160" w:line="276" w:lineRule="auto"/>
        <w:keepNext/>
      </w:pPr>
      <w:r>
        <w:rPr>
          <w:rFonts w:ascii="Times New Roman" w:cs="Times New Roman" w:eastAsia="Times New Roman" w:hAnsi="Times New Roman"/>
          <w:b/>
          <w:bCs/>
          <w:i/>
          <w:iCs/>
          <w:sz w:val="24"/>
          <w:szCs w:val="24"/>
        </w:rPr>
        <w:t xml:space="preserve">Step 9: File Verified Complaint in LA County Superior Court</w:t>
      </w:r>
    </w:p>
    <w:p>
      <w:pPr>
        <w:spacing w:after="200" w:before="0" w:line="276" w:lineRule="auto"/>
        <w:jc w:val="both"/>
      </w:pPr>
      <w:r>
        <w:rPr>
          <w:rFonts w:ascii="Times New Roman" w:cs="Times New Roman" w:eastAsia="Times New Roman" w:hAnsi="Times New Roman"/>
          <w:b w:val="false"/>
          <w:bCs w:val="false"/>
          <w:i w:val="false"/>
          <w:iCs w:val="false"/>
          <w:sz w:val="24"/>
          <w:szCs w:val="24"/>
        </w:rPr>
        <w:t>File in Los Angeles County Superior Court, unlimited civil jurisdiction (damages exceed $25,000). The complaint should name all defendants: (a) Uniappartment Homeowners Association; (b) individual Board members (to be identified via § 5200 records) for breach of fiduciary duty under Frances T.; (c) California HOA Solutions LLC for negligence; (d) Joshua Ochoa individually for negligence (received October 14 maintenance request, took no action). Assert all eleven causes of action: breach of CC&amp;Rs, breach of fiduciary duty, negligence, private nuisance, public nuisance, property damage, declaratory relief, injunctive relief, gross negligence, violation of the Davis-Stirling Act (Civil Code § 4775), and violation of Health and Safety Code Section 17920.3.</w:t>
      </w:r>
    </w:p>
    <w:p>
      <w:pPr>
        <w:spacing w:before="240" w:after="160" w:line="276" w:lineRule="auto"/>
        <w:keepNext/>
      </w:pPr>
      <w:r>
        <w:rPr>
          <w:rFonts w:ascii="Times New Roman" w:cs="Times New Roman" w:eastAsia="Times New Roman" w:hAnsi="Times New Roman"/>
          <w:b/>
          <w:bCs/>
          <w:i/>
          <w:iCs/>
          <w:sz w:val="24"/>
          <w:szCs w:val="24"/>
        </w:rPr>
        <w:t xml:space="preserve">Step 10: Ex Parte Application for TRO</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Simultaneously with the complaint, file an ex parte application for a temporary restraining order and order to show cause re preliminary injunction under Civil Code § 5950(a)(3), which exempts emergency injunctive relief from the ADR prerequisite. The TRO should compel: (a) emergency roof repair within 30 days; (b) professional mold remediation upon completion of roof repair; (c) the Board to exercise its § 5610(b) emergency assessment authority to fund the repairs. The showing is strong: likelihood of success is high given the unambiguous § 4775 duty; irreparable harm from ongoing mold exposure is established by the lab results; balance of hardships favors Jose; and public interest supports safe housing.</w:t>
      </w:r>
    </w:p>
    <w:p>
      <w:pPr>
        <w:spacing w:before="240" w:after="160" w:line="276" w:lineRule="auto"/>
        <w:keepNext/>
      </w:pPr>
      <w:r>
        <w:rPr>
          <w:rFonts w:ascii="Times New Roman" w:cs="Times New Roman" w:eastAsia="Times New Roman" w:hAnsi="Times New Roman"/>
          <w:b/>
          <w:bCs/>
          <w:i/>
          <w:iCs/>
          <w:sz w:val="24"/>
          <w:szCs w:val="24"/>
        </w:rPr>
        <w:t xml:space="preserve">Step 11: Discovery</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Serve comprehensive discovery immediately after filing: Requests for Admission (force the HOA to admit or deny the § 4775 maintenance duty, the roof’s common area status, the mold test results, and the failed vote); Interrogatories (identify all Board members, all maintenance requests received, all insurance claims filed, all communications about the roof); Requests for Production (everything demanded under § 5200 plus litigation-specific documents); and Deposition Notices for Joshua Ochoa, Sabawoon Shewa, each Board member, and the HOA’s Person Most Knowledgeable regarding roof maintenance, insurance, and the special assessment vote.</w:t>
      </w:r>
    </w:p>
    <w:p>
      <w:pPr>
        <w:spacing w:before="480" w:after="240" w:line="276" w:lineRule="auto"/>
        <w:jc w:val="center"/>
        <w:keepNext/>
      </w:pPr>
      <w:r>
        <w:rPr>
          <w:rFonts w:ascii="Times New Roman" w:cs="Times New Roman" w:eastAsia="Times New Roman" w:hAnsi="Times New Roman"/>
          <w:b/>
          <w:bCs/>
          <w:sz w:val="28"/>
          <w:szCs w:val="28"/>
        </w:rPr>
        <w:t xml:space="preserve">CO-PLAINTIFF / MULTI-OWNER STRATEGY</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There are 8 other affected unit owners in the same building with the same leaking roof. Recruiting even 3-4 of them as co-plaintiffs transforms this case. A multi-plaintiff action multiplies aggregate damages (9 units × $139K-$767K each = $1.25M-$6.9M total exposure), divides litigation costs per plaintiff, dramatically increases settlement pressure, strengthens the public nuisance claim, and makes the case more attractive to attorneys and more newsworthy to media.</w:t>
      </w:r>
    </w:p>
    <w:p>
      <w:pPr>
        <w:spacing w:after="200" w:before="0" w:line="276" w:lineRule="auto"/>
        <w:jc w:val="both"/>
        <w:keepNext/>
      </w:pPr>
      <w:r>
        <w:rPr>
          <w:rFonts w:ascii="Times New Roman" w:cs="Times New Roman" w:eastAsia="Times New Roman" w:hAnsi="Times New Roman"/>
          <w:b/>
          <w:bCs/>
          <w:sz w:val="24"/>
          <w:szCs w:val="24"/>
        </w:rPr>
        <w:t xml:space="preserve">How to recruit co-plaintiffs:</w:t>
      </w:r>
      <w:r>
        <w:rPr>
          <w:rFonts w:ascii="Times New Roman" w:cs="Times New Roman" w:eastAsia="Times New Roman" w:hAnsi="Times New Roman"/>
          <w:sz w:val="24"/>
          <w:szCs w:val="24"/>
        </w:rPr>
        <w:t xml:space="preserve"> The § 5200 demand requests the membership roster (with statement of purpose for member communication). Once obtained, Jose or Vince can contact all 29 owners — particularly the 8 other affected owners — with a factual summary of the legal position and an invitation to join. California Code of Civil Procedure § 378 permits permissive joinder of plaintiffs when their claims arise from the same transaction or occurrence and share common questions of law or fact. The same leaking roof, the same CC&amp;R duty, and the same Board inaction satisfy both requirements.</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If a sufficient number of owners join, a formal class action under CCP § 382 becomes viable, though the more practical approach for 9 affected units is a joint complaint with all affected owners as named plaintiffs.</w:t>
      </w:r>
    </w:p>
    <w:p>
      <w:pPr>
        <w:spacing w:before="480" w:after="240" w:line="276" w:lineRule="auto"/>
        <w:jc w:val="center"/>
        <w:keepNext/>
      </w:pPr>
      <w:r>
        <w:rPr>
          <w:rFonts w:ascii="Times New Roman" w:cs="Times New Roman" w:eastAsia="Times New Roman" w:hAnsi="Times New Roman"/>
          <w:b/>
          <w:bCs/>
          <w:sz w:val="28"/>
          <w:szCs w:val="28"/>
        </w:rPr>
        <w:t xml:space="preserve">RISKS AND CONTINGENCIES</w:t>
      </w:r>
    </w:p>
    <w:p>
      <w:pPr>
        <w:spacing w:before="240" w:after="160" w:line="276" w:lineRule="auto"/>
        <w:keepNext/>
      </w:pPr>
      <w:r>
        <w:rPr>
          <w:rFonts w:ascii="Times New Roman" w:cs="Times New Roman" w:eastAsia="Times New Roman" w:hAnsi="Times New Roman"/>
          <w:b/>
          <w:bCs/>
          <w:i/>
          <w:iCs/>
          <w:sz w:val="24"/>
          <w:szCs w:val="24"/>
        </w:rPr>
        <w:t xml:space="preserve">Risk 1: HOA Claims Insufficient Funds</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This is the most likely defense and it fails as a matter of law. Civil Code § 4775 imposes the maintenance duty unconditionally. § 5600 requires the Association to levy assessments sufficient to perform its obligations. § 5610 provides emergency assessment authority. "We don’t have the money" is not a defense — it’s an admission that the Board failed to properly fund reserves and failed to exercise its statutory assessment powers.</w:t>
      </w:r>
    </w:p>
    <w:p>
      <w:pPr>
        <w:spacing w:before="240" w:after="160" w:line="276" w:lineRule="auto"/>
        <w:keepNext/>
      </w:pPr>
      <w:r>
        <w:rPr>
          <w:rFonts w:ascii="Times New Roman" w:cs="Times New Roman" w:eastAsia="Times New Roman" w:hAnsi="Times New Roman"/>
          <w:b/>
          <w:bCs/>
          <w:i/>
          <w:iCs/>
          <w:sz w:val="24"/>
          <w:szCs w:val="24"/>
        </w:rPr>
        <w:t xml:space="preserve">Risk 2: HOA Invokes Business Judgment Rule</w:t>
      </w:r>
    </w:p>
    <w:p>
      <w:pPr>
        <w:spacing w:after="200" w:before="0" w:line="276" w:lineRule="auto"/>
        <w:jc w:val="both"/>
      </w:pPr>
      <w:r>
        <w:rPr>
          <w:rFonts w:ascii="Times New Roman" w:cs="Times New Roman" w:eastAsia="Times New Roman" w:hAnsi="Times New Roman"/>
          <w:sz w:val="24"/>
          <w:szCs w:val="24"/>
        </w:rPr>
        <w:t xml:space="preserve">The business judgment rule under </w:t>
      </w:r>
      <w:r>
        <w:rPr>
          <w:rFonts w:ascii="Times New Roman" w:cs="Times New Roman" w:eastAsia="Times New Roman" w:hAnsi="Times New Roman"/>
          <w:i/>
          <w:iCs/>
          <w:sz w:val="24"/>
          <w:szCs w:val="24"/>
        </w:rPr>
        <w:t xml:space="preserve">Lamden</w:t>
      </w:r>
      <w:r>
        <w:rPr>
          <w:rFonts w:ascii="Times New Roman" w:cs="Times New Roman" w:eastAsia="Times New Roman" w:hAnsi="Times New Roman"/>
          <w:sz w:val="24"/>
          <w:szCs w:val="24"/>
        </w:rPr>
        <w:t xml:space="preserve"> does not protect outright refusal to perform a mandatory statutory duty. </w:t>
      </w:r>
      <w:r>
        <w:rPr>
          <w:rFonts w:ascii="Times New Roman" w:cs="Times New Roman" w:eastAsia="Times New Roman" w:hAnsi="Times New Roman"/>
          <w:i/>
          <w:iCs/>
          <w:sz w:val="24"/>
          <w:szCs w:val="24"/>
        </w:rPr>
        <w:t xml:space="preserve">Dover Village</w:t>
      </w:r>
      <w:r>
        <w:rPr>
          <w:rFonts w:ascii="Times New Roman" w:cs="Times New Roman" w:eastAsia="Times New Roman" w:hAnsi="Times New Roman"/>
          <w:sz w:val="24"/>
          <w:szCs w:val="24"/>
        </w:rPr>
        <w:t xml:space="preserve"> and </w:t>
      </w:r>
      <w:r>
        <w:rPr>
          <w:rFonts w:ascii="Times New Roman" w:cs="Times New Roman" w:eastAsia="Times New Roman" w:hAnsi="Times New Roman"/>
          <w:i/>
          <w:iCs/>
          <w:sz w:val="24"/>
          <w:szCs w:val="24"/>
        </w:rPr>
        <w:t xml:space="preserve">Ridley</w:t>
      </w:r>
      <w:r>
        <w:rPr>
          <w:rFonts w:ascii="Times New Roman" w:cs="Times New Roman" w:eastAsia="Times New Roman" w:hAnsi="Times New Roman"/>
          <w:sz w:val="24"/>
          <w:szCs w:val="24"/>
        </w:rPr>
        <w:t xml:space="preserve"> confirm this. The Board had no discretion to decline roof maintenance — only discretion in </w:t>
      </w:r>
      <w:r>
        <w:rPr>
          <w:rFonts w:ascii="Times New Roman" w:cs="Times New Roman" w:eastAsia="Times New Roman" w:hAnsi="Times New Roman"/>
          <w:i/>
          <w:iCs/>
          <w:sz w:val="24"/>
          <w:szCs w:val="24"/>
        </w:rPr>
        <w:t xml:space="preserve">how</w:t>
      </w:r>
      <w:r>
        <w:rPr>
          <w:rFonts w:ascii="Times New Roman" w:cs="Times New Roman" w:eastAsia="Times New Roman" w:hAnsi="Times New Roman"/>
          <w:sz w:val="24"/>
          <w:szCs w:val="24"/>
        </w:rPr>
        <w:t xml:space="preserve"> to accomplish it. Choosing to do nothing is not a protected business judgment.</w:t>
      </w:r>
    </w:p>
    <w:p>
      <w:pPr>
        <w:spacing w:before="240" w:after="160" w:line="276" w:lineRule="auto"/>
        <w:keepNext/>
      </w:pPr>
      <w:r>
        <w:rPr>
          <w:rFonts w:ascii="Times New Roman" w:cs="Times New Roman" w:eastAsia="Times New Roman" w:hAnsi="Times New Roman"/>
          <w:b/>
          <w:bCs/>
          <w:i/>
          <w:iCs/>
          <w:sz w:val="24"/>
          <w:szCs w:val="24"/>
        </w:rPr>
        <w:t xml:space="preserve">Risk 3: HOA Argues Jose Caused or Contributed to the Mold</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Comparative fault is theoretically possible but factually unsupported. The mold is caused by water intrusion through the roof — a common area component Jose has no right or ability to repair. The CC&amp;Rs (Article V, § 1(G)) prohibit owners from altering or constructing anything in the common area without Board consent. Jose literally cannot fix his own roof. Any argument that he should have mitigated damages is addressed by the fact that remediation cannot begin until the roof is fixed, which only the Association can authorize.</w:t>
      </w:r>
    </w:p>
    <w:p>
      <w:pPr>
        <w:spacing w:before="240" w:after="160" w:line="276" w:lineRule="auto"/>
        <w:keepNext/>
      </w:pPr>
      <w:r>
        <w:rPr>
          <w:rFonts w:ascii="Times New Roman" w:cs="Times New Roman" w:eastAsia="Times New Roman" w:hAnsi="Times New Roman"/>
          <w:b/>
          <w:bCs/>
          <w:i/>
          <w:iCs/>
          <w:sz w:val="24"/>
          <w:szCs w:val="24"/>
        </w:rPr>
        <w:t xml:space="preserve">Risk 4: Attorney Fee Exposure If Jose Loses</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Under § 5975(c), the fee-shifting is reciprocal — if the HOA prevails, Jose would owe their fees. This risk is low given the unambiguous statutory duty and CC&amp;R language, but it’s not zero. The risk is mitigated by the strength of the claims, the Ridley precedent, and the continuing nuisance theory which is essentially bulletproof on these facts. An experienced HOA litigator will evaluate this risk before taking the case.</w:t>
      </w:r>
    </w:p>
    <w:p>
      <w:pPr>
        <w:spacing w:before="240" w:after="160" w:line="276" w:lineRule="auto"/>
        <w:keepNext/>
      </w:pPr>
      <w:r>
        <w:rPr>
          <w:rFonts w:ascii="Times New Roman" w:cs="Times New Roman" w:eastAsia="Times New Roman" w:hAnsi="Times New Roman"/>
          <w:b/>
          <w:bCs/>
          <w:i/>
          <w:iCs/>
          <w:sz w:val="24"/>
          <w:szCs w:val="24"/>
        </w:rPr>
        <w:t xml:space="preserve">Risk 5: ADR Procedural Trap</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Failure to comply with § 5930 ADR prerequisites before filing could result in dismissal. This risk is now fully addressed: the demand letter includes an IDR request under § 5910, reserves the right to serve a § 5935 ADR Request for Resolution, and invokes the § 5950(a)(3) exception for emergency injunctive relief. The litigation strategy sequences these steps correctly.</w:t>
      </w:r>
    </w:p>
    <w:p>
      <w:pPr>
        <w:spacing w:before="480" w:after="240" w:line="276" w:lineRule="auto"/>
        <w:jc w:val="center"/>
        <w:keepNext/>
      </w:pPr>
      <w:r>
        <w:rPr>
          <w:rFonts w:ascii="Times New Roman" w:cs="Times New Roman" w:eastAsia="Times New Roman" w:hAnsi="Times New Roman"/>
          <w:b/>
          <w:bCs/>
          <w:sz w:val="28"/>
          <w:szCs w:val="28"/>
        </w:rPr>
        <w:t xml:space="preserve">WHAT VINCE SHOULD TELL JOSE</w:t>
      </w:r>
    </w:p>
    <w:p>
      <w:pPr>
        <w:spacing w:after="200" w:before="0" w:line="276" w:lineRule="auto"/>
        <w:jc w:val="both"/>
        <w:keepNext/>
      </w:pPr>
      <w:r>
        <w:rPr>
          <w:rFonts w:ascii="Times New Roman" w:cs="Times New Roman" w:eastAsia="Times New Roman" w:hAnsi="Times New Roman"/>
          <w:b/>
          <w:bCs/>
          <w:sz w:val="24"/>
          <w:szCs w:val="24"/>
        </w:rPr>
        <w:t xml:space="preserve">The short version:</w:t>
      </w:r>
      <w:r>
        <w:rPr>
          <w:rFonts w:ascii="Times New Roman" w:cs="Times New Roman" w:eastAsia="Times New Roman" w:hAnsi="Times New Roman"/>
          <w:sz w:val="24"/>
          <w:szCs w:val="24"/>
        </w:rPr>
        <w:t xml:space="preserve"> “You have a very strong case. The law is clearly on your side. The HOA is required by statute and by its own CC&amp;Rs to maintain that roof, and the membership vote doesn’t change that. A new California law that took effect in 2025 gives the Board the power to bypass the vote entirely for health emergencies like mold. The Board chose not to use that power. A California appeals court just awarded $1.8 million to a homeowner in almost exactly the same situation. And if you win, the HOA has to pay your attorney’s fees by law. This case is strong enough that an HOA attorney should take it on contingency, meaning you pay nothing upfront.”</w:t>
      </w:r>
    </w:p>
    <w:p>
      <w:pPr>
        <w:spacing w:after="200" w:before="0" w:line="276" w:lineRule="auto"/>
        <w:jc w:val="both"/>
        <w:keepNext/>
      </w:pPr>
      <w:r>
        <w:rPr>
          <w:rFonts w:ascii="Times New Roman" w:cs="Times New Roman" w:eastAsia="Times New Roman" w:hAnsi="Times New Roman"/>
          <w:b/>
          <w:bCs/>
          <w:sz w:val="24"/>
          <w:szCs w:val="24"/>
        </w:rPr>
        <w:t xml:space="preserve">What Jose needs to do right now:</w:t>
      </w:r>
      <w:r>
        <w:rPr>
          <w:rFonts w:ascii="Times New Roman" w:cs="Times New Roman" w:eastAsia="Times New Roman" w:hAnsi="Times New Roman"/>
          <w:sz w:val="24"/>
          <w:szCs w:val="24"/>
        </w:rPr>
        <w:t xml:space="preserve"> (1) Fill in the blanks in the demand letter with his actual mortgage amount, rental income, tenant departure date, and mold testing costs. (2) Gather all photos of the damage, all communications with the HOA and property manager, all receipts for expenses related to the mold. (3) Do NOT attempt any repairs or alterations to the unit — preserve the evidence as-is. (4) If he or anyone in his household is experiencing health symptoms (respiratory issues, headaches, allergies), see a doctor and tell the doctor about the mold exposure — medical records become evidence. (5) Talk to his neighbors in the other affected units — find out who else is dealing with the same problem.</w:t>
      </w:r>
    </w:p>
    <w:p>
      <w:pPr>
        <w:spacing w:after="200" w:before="0" w:line="276" w:lineRule="auto"/>
        <w:jc w:val="both"/>
      </w:pPr>
      <w:r>
        <w:rPr>
          <w:rFonts w:ascii="Times New Roman" w:cs="Times New Roman" w:eastAsia="Times New Roman" w:hAnsi="Times New Roman"/>
          <w:b w:val="false"/>
          <w:bCs w:val="false"/>
          <w:i w:val="false"/>
          <w:iCs w:val="false"/>
          <w:sz w:val="24"/>
          <w:szCs w:val="24"/>
        </w:rPr>
        <w:t xml:space="preserve"/>
      </w:r>
    </w:p>
    <w:p>
      <w:pPr>
        <w:pBdr>
          <w:bottom w:val="single" w:color="000000" w:sz="6" w:space="1"/>
        </w:pBdr>
        <w:spacing w:after="300" w:line="276" w:lineRule="auto"/>
      </w:pPr>
    </w:p>
    <w:p>
      <w:pPr>
        <w:spacing w:after="200" w:before="0" w:line="276" w:lineRule="auto"/>
        <w:jc w:val="both"/>
        <w:keepNext/>
      </w:pPr>
      <w:r>
        <w:rPr>
          <w:rFonts w:ascii="Times New Roman" w:cs="Times New Roman" w:eastAsia="Times New Roman" w:hAnsi="Times New Roman"/>
          <w:b/>
          <w:bCs/>
          <w:sz w:val="20"/>
          <w:szCs w:val="20"/>
        </w:rPr>
        <w:t xml:space="preserve">PREPARED BY: </w:t>
      </w:r>
      <w:r>
        <w:rPr>
          <w:rFonts w:ascii="Times New Roman" w:cs="Times New Roman" w:eastAsia="Times New Roman" w:hAnsi="Times New Roman"/>
          <w:sz w:val="20"/>
          <w:szCs w:val="20"/>
        </w:rPr>
        <w:t xml:space="preserve">Day 7 Public Benefit Corporation / Legal Consulting Division</w:t>
      </w:r>
    </w:p>
    <w:p>
      <w:pPr>
        <w:spacing w:after="200" w:before="0" w:line="276" w:lineRule="auto"/>
        <w:jc w:val="both"/>
        <w:keepNext/>
      </w:pPr>
      <w:r>
        <w:rPr>
          <w:rFonts w:ascii="Times New Roman" w:cs="Times New Roman" w:eastAsia="Times New Roman" w:hAnsi="Times New Roman"/>
          <w:b/>
          <w:bCs/>
          <w:sz w:val="20"/>
          <w:szCs w:val="20"/>
        </w:rPr>
        <w:t xml:space="preserve">FOR: </w:t>
      </w:r>
      <w:r>
        <w:rPr>
          <w:rFonts w:ascii="Times New Roman" w:cs="Times New Roman" w:eastAsia="Times New Roman" w:hAnsi="Times New Roman"/>
          <w:sz w:val="20"/>
          <w:szCs w:val="20"/>
        </w:rPr>
        <w:t xml:space="preserve">Vince Caruso</w:t>
      </w:r>
    </w:p>
    <w:p>
      <w:pPr>
        <w:spacing w:after="200" w:before="0" w:line="276" w:lineRule="auto"/>
        <w:jc w:val="both"/>
        <w:keepNext/>
      </w:pPr>
      <w:r>
        <w:rPr>
          <w:rFonts w:ascii="Times New Roman" w:cs="Times New Roman" w:eastAsia="Times New Roman" w:hAnsi="Times New Roman"/>
          <w:b/>
          <w:bCs/>
          <w:sz w:val="20"/>
          <w:szCs w:val="20"/>
        </w:rPr>
        <w:t xml:space="preserve">DATE: </w:t>
      </w:r>
      <w:r>
        <w:rPr>
          <w:rFonts w:ascii="Times New Roman" w:cs="Times New Roman" w:eastAsia="Times New Roman" w:hAnsi="Times New Roman"/>
          <w:sz w:val="20"/>
          <w:szCs w:val="20"/>
        </w:rPr>
        <w:t xml:space="preserve">March 2026</w:t>
      </w:r>
    </w:p>
    <w:p>
      <w:pPr>
        <w:spacing w:after="200" w:before="0" w:line="276" w:lineRule="auto"/>
        <w:jc w:val="both"/>
      </w:pPr>
      <w:r>
        <w:rPr>
          <w:rFonts w:ascii="Times New Roman" w:cs="Times New Roman" w:eastAsia="Times New Roman" w:hAnsi="Times New Roman"/>
          <w:i/>
          <w:iCs/>
          <w:sz w:val="20"/>
          <w:szCs w:val="20"/>
        </w:rPr>
        <w:t xml:space="preserve">CONFIDENTIAL: This document contains legal strategy and analysis prepared in anticipation of litigation. It is protected by the attorney-client privilege and the work product doctrine. Do not distribute without authorization.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2026-03-22T21:34:45.980Z</dcterms:created>
  <dcterms:modified xsi:type="dcterms:W3CDTF">2026-03-22T21:34:45.981Z</dcterms:modified>
</cp:coreProperties>
</file>

<file path=docProps/custom.xml><?xml version="1.0" encoding="utf-8"?>
<Properties xmlns="http://schemas.openxmlformats.org/officeDocument/2006/custom-properties" xmlns:vt="http://schemas.openxmlformats.org/officeDocument/2006/docPropsVTypes"/>
</file>