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480" w:lineRule="auto"/>
        <w:jc w:val="center"/>
        <w:keepNext/>
      </w:pPr>
      <w:r>
        <w:rPr>
          <w:rFonts w:ascii="Times New Roman" w:cs="Times New Roman" w:eastAsia="Times New Roman" w:hAnsi="Times New Roman"/>
          <w:b/>
          <w:bCs/>
          <w:i w:val="false"/>
          <w:iCs w:val="false"/>
          <w:sz w:val="28"/>
          <w:szCs w:val="28"/>
        </w:rPr>
        <w:t xml:space="preserve">SUPERIOR COURT OF THE STATE OF CALIFORNIA</w:t>
      </w:r>
    </w:p>
    <w:p>
      <w:pPr>
        <w:spacing w:after="300" w:before="0" w:line="480" w:lineRule="auto"/>
        <w:jc w:val="center"/>
        <w:keepNext/>
      </w:pPr>
      <w:r>
        <w:rPr>
          <w:rFonts w:ascii="Times New Roman" w:cs="Times New Roman" w:eastAsia="Times New Roman" w:hAnsi="Times New Roman"/>
          <w:b/>
          <w:bCs/>
          <w:i w:val="false"/>
          <w:iCs w:val="false"/>
          <w:sz w:val="28"/>
          <w:szCs w:val="28"/>
        </w:rPr>
        <w:t xml:space="preserve">FOR THE COUNTY OF LOS ANGELES</w:t>
      </w:r>
    </w:p>
    <w:p>
      <w:pPr>
        <w:spacing w:after="300" w:before="0" w:line="480" w:lineRule="auto"/>
        <w:jc w:val="left"/>
      </w:pPr>
      <w:r>
        <w:rPr>
          <w:rFonts w:ascii="Times New Roman" w:cs="Times New Roman" w:eastAsia="Times New Roman" w:hAnsi="Times New Roman"/>
          <w:b w:val="false"/>
          <w:bCs w:val="false"/>
          <w:i w:val="false"/>
          <w:iCs w:val="false"/>
          <w:sz w:val="24"/>
          <w:szCs w:val="24"/>
        </w:rPr>
        <w:t xml:space="preserve">JOSE SEGURA, Plaintiff, v. UNIAPPARTMENT HOMEOWNERS ASSOCIATION, et al., Defendants.</w:t>
      </w:r>
    </w:p>
    <w:p>
      <w:pPr>
        <w:spacing w:after="400" w:before="0" w:line="480" w:lineRule="auto"/>
        <w:jc w:val="left"/>
        <w:keepNext/>
      </w:pPr>
      <w:r>
        <w:rPr>
          <w:rFonts w:ascii="Times New Roman" w:cs="Times New Roman" w:eastAsia="Times New Roman" w:hAnsi="Times New Roman"/>
          <w:b/>
          <w:bCs/>
          <w:sz w:val="24"/>
          <w:szCs w:val="24"/>
        </w:rPr>
        <w:t xml:space="preserve">Case No. _______________</w:t>
      </w:r>
    </w:p>
    <w:p>
      <w:pPr>
        <w:pBdr>
          <w:bottom w:val="single" w:color="000000" w:sz="6" w:space="1"/>
        </w:pBdr>
        <w:spacing w:after="300" w:line="480" w:lineRule="auto"/>
      </w:pPr>
    </w:p>
    <w:p>
      <w:pPr>
        <w:spacing w:after="60" w:before="0" w:line="480" w:lineRule="auto"/>
        <w:jc w:val="center"/>
        <w:keepNext/>
      </w:pPr>
      <w:r>
        <w:rPr>
          <w:rFonts w:ascii="Times New Roman" w:cs="Times New Roman" w:eastAsia="Times New Roman" w:hAnsi="Times New Roman"/>
          <w:b/>
          <w:bCs/>
          <w:i w:val="false"/>
          <w:iCs w:val="false"/>
          <w:sz w:val="32"/>
          <w:szCs w:val="32"/>
        </w:rPr>
        <w:t xml:space="preserve">PLAINTIFF’S FIRST SET OF DEMANDS FOR PRODUCTION OF DOCUMENTS</w:t>
      </w:r>
    </w:p>
    <w:p>
      <w:pPr>
        <w:spacing w:after="60" w:before="0" w:line="480" w:lineRule="auto"/>
        <w:jc w:val="center"/>
        <w:keepNext/>
      </w:pPr>
      <w:r>
        <w:rPr>
          <w:rFonts w:ascii="Times New Roman" w:cs="Times New Roman" w:eastAsia="Times New Roman" w:hAnsi="Times New Roman"/>
          <w:b/>
          <w:bCs/>
          <w:i w:val="false"/>
          <w:iCs w:val="false"/>
          <w:sz w:val="28"/>
          <w:szCs w:val="28"/>
        </w:rPr>
        <w:t xml:space="preserve">AND THINGS TO ALL DEFENDANTS</w:t>
      </w:r>
    </w:p>
    <w:p>
      <w:pPr>
        <w:spacing w:after="400" w:before="0" w:line="480" w:lineRule="auto"/>
        <w:jc w:val="center"/>
      </w:pPr>
      <w:r>
        <w:rPr>
          <w:rFonts w:ascii="Times New Roman" w:cs="Times New Roman" w:eastAsia="Times New Roman" w:hAnsi="Times New Roman"/>
          <w:b w:val="false"/>
          <w:bCs w:val="false"/>
          <w:i/>
          <w:iCs/>
          <w:sz w:val="20"/>
          <w:szCs w:val="20"/>
        </w:rPr>
        <w:t xml:space="preserve">(California Code of Civil Procedure § 2031.010 et seq.)</w:t>
      </w:r>
    </w:p>
    <w:p>
      <w:pPr>
        <w:spacing w:after="100" w:before="0" w:line="480" w:lineRule="auto"/>
        <w:jc w:val="left"/>
        <w:keepNext/>
      </w:pPr>
      <w:r>
        <w:rPr>
          <w:rFonts w:ascii="Times New Roman" w:cs="Times New Roman" w:eastAsia="Times New Roman" w:hAnsi="Times New Roman"/>
          <w:b/>
          <w:bCs/>
          <w:sz w:val="24"/>
          <w:szCs w:val="24"/>
        </w:rPr>
        <w:t xml:space="preserve">PROPOUNDING PARTY: </w:t>
      </w:r>
      <w:r>
        <w:rPr>
          <w:rFonts w:ascii="Times New Roman" w:cs="Times New Roman" w:eastAsia="Times New Roman" w:hAnsi="Times New Roman"/>
          <w:sz w:val="24"/>
          <w:szCs w:val="24"/>
        </w:rPr>
        <w:t xml:space="preserve">Plaintiff Jose Segura</w:t>
      </w:r>
    </w:p>
    <w:p>
      <w:pPr>
        <w:spacing w:after="100" w:before="0" w:line="480" w:lineRule="auto"/>
        <w:jc w:val="left"/>
        <w:keepNext/>
      </w:pPr>
      <w:r>
        <w:rPr>
          <w:rFonts w:ascii="Times New Roman" w:cs="Times New Roman" w:eastAsia="Times New Roman" w:hAnsi="Times New Roman"/>
          <w:b/>
          <w:bCs/>
          <w:sz w:val="24"/>
          <w:szCs w:val="24"/>
        </w:rPr>
        <w:t xml:space="preserve">RESPONDING PARTIES: </w:t>
      </w:r>
      <w:r>
        <w:rPr>
          <w:rFonts w:ascii="Times New Roman" w:cs="Times New Roman" w:eastAsia="Times New Roman" w:hAnsi="Times New Roman"/>
          <w:sz w:val="24"/>
          <w:szCs w:val="24"/>
        </w:rPr>
        <w:t xml:space="preserve">All Defendants</w:t>
      </w:r>
    </w:p>
    <w:p>
      <w:pPr>
        <w:spacing w:after="300" w:before="0" w:line="480" w:lineRule="auto"/>
        <w:jc w:val="left"/>
        <w:keepNext/>
      </w:pPr>
      <w:r>
        <w:rPr>
          <w:rFonts w:ascii="Times New Roman" w:cs="Times New Roman" w:eastAsia="Times New Roman" w:hAnsi="Times New Roman"/>
          <w:b/>
          <w:bCs/>
          <w:sz w:val="24"/>
          <w:szCs w:val="24"/>
        </w:rPr>
        <w:t xml:space="preserve">SET NUMBER: </w:t>
      </w:r>
      <w:r>
        <w:rPr>
          <w:rFonts w:ascii="Times New Roman" w:cs="Times New Roman" w:eastAsia="Times New Roman" w:hAnsi="Times New Roman"/>
          <w:sz w:val="24"/>
          <w:szCs w:val="24"/>
        </w:rPr>
        <w:t xml:space="preserve">One</w:t>
      </w: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Pursuant to CCP § 2031.010, Plaintiff demands that each Defendant produce for inspection and copying the following documents and things within thirty (30) days of service. “Documents” includes all writings, electronically stored information (ESI), photographs, videos, audio recordings, and tangible things as defined in Evidence Code § 250 and CCP § 2031.010(c).</w:t>
      </w:r>
    </w:p>
    <w:p>
      <w:pPr>
        <w:spacing w:after="300" w:before="0" w:line="480" w:lineRule="auto"/>
        <w:jc w:val="left"/>
        <w:keepNext/>
      </w:pPr>
      <w:r>
        <w:rPr>
          <w:rFonts w:ascii="Times New Roman" w:cs="Times New Roman" w:eastAsia="Times New Roman" w:hAnsi="Times New Roman"/>
          <w:b/>
          <w:bCs/>
          <w:sz w:val="28"/>
          <w:szCs w:val="28"/>
        </w:rPr>
        <w:t xml:space="preserve">DOCUMENTS TO BE PRODUCED:</w:t>
      </w:r>
    </w:p>
    <w:p>
      <w:pPr>
        <w:spacing w:after="300" w:before="0" w:line="480" w:lineRule="auto"/>
        <w:jc w:val="left"/>
        <w:keepNext/>
      </w:pPr>
      <w:r>
        <w:rPr>
          <w:rFonts w:ascii="Times New Roman" w:cs="Times New Roman" w:eastAsia="Times New Roman" w:hAnsi="Times New Roman"/>
          <w:b/>
          <w:bCs/>
          <w:sz w:val="24"/>
          <w:szCs w:val="24"/>
        </w:rPr>
        <w:t xml:space="preserve">DEMAND NO. 1: </w:t>
      </w:r>
      <w:r>
        <w:rPr>
          <w:rFonts w:ascii="Times New Roman" w:cs="Times New Roman" w:eastAsia="Times New Roman" w:hAnsi="Times New Roman"/>
          <w:sz w:val="24"/>
          <w:szCs w:val="24"/>
        </w:rPr>
        <w:t xml:space="preserve">All reserve studies prepared for the Association within the past ten (10) years, including the most recent reserve study required by Civil Code § 5550.</w:t>
      </w:r>
    </w:p>
    <w:p>
      <w:pPr>
        <w:spacing w:after="300" w:before="0" w:line="480" w:lineRule="auto"/>
        <w:jc w:val="left"/>
        <w:keepNext/>
      </w:pPr>
      <w:r>
        <w:rPr>
          <w:rFonts w:ascii="Times New Roman" w:cs="Times New Roman" w:eastAsia="Times New Roman" w:hAnsi="Times New Roman"/>
          <w:b/>
          <w:bCs/>
          <w:sz w:val="24"/>
          <w:szCs w:val="24"/>
        </w:rPr>
        <w:t xml:space="preserve">DEMAND NO. 2: </w:t>
      </w:r>
      <w:r>
        <w:rPr>
          <w:rFonts w:ascii="Times New Roman" w:cs="Times New Roman" w:eastAsia="Times New Roman" w:hAnsi="Times New Roman"/>
          <w:sz w:val="24"/>
          <w:szCs w:val="24"/>
        </w:rPr>
        <w:t xml:space="preserve">All annual budget reports distributed to members for the past five (5) fiscal years, including reserve funding disclosures required by Civil Code § 5300.</w:t>
      </w:r>
    </w:p>
    <w:p>
      <w:pPr>
        <w:spacing w:after="300" w:before="0" w:line="480" w:lineRule="auto"/>
        <w:jc w:val="left"/>
        <w:keepNext/>
      </w:pPr>
      <w:r>
        <w:rPr>
          <w:rFonts w:ascii="Times New Roman" w:cs="Times New Roman" w:eastAsia="Times New Roman" w:hAnsi="Times New Roman"/>
          <w:b/>
          <w:bCs/>
          <w:sz w:val="24"/>
          <w:szCs w:val="24"/>
        </w:rPr>
        <w:t xml:space="preserve">DEMAND NO. 3: </w:t>
      </w:r>
      <w:r>
        <w:rPr>
          <w:rFonts w:ascii="Times New Roman" w:cs="Times New Roman" w:eastAsia="Times New Roman" w:hAnsi="Times New Roman"/>
          <w:sz w:val="24"/>
          <w:szCs w:val="24"/>
        </w:rPr>
        <w:t xml:space="preserve">All minutes of Board of Directors meetings (regular and special, excluding attorney-client privileged executive session content) from January 1, 2022 to the present, including all minutes reflecting discussion of: the roof, water intrusion, mold, special assessments, emergency assessments, insurance, and maintenance of common areas.</w:t>
      </w:r>
    </w:p>
    <w:p>
      <w:pPr>
        <w:spacing w:after="300" w:before="0" w:line="480" w:lineRule="auto"/>
        <w:jc w:val="left"/>
        <w:keepNext/>
      </w:pPr>
      <w:r>
        <w:rPr>
          <w:rFonts w:ascii="Times New Roman" w:cs="Times New Roman" w:eastAsia="Times New Roman" w:hAnsi="Times New Roman"/>
          <w:b/>
          <w:bCs/>
          <w:sz w:val="24"/>
          <w:szCs w:val="24"/>
        </w:rPr>
        <w:t xml:space="preserve">DEMAND NO. 4: </w:t>
      </w:r>
      <w:r>
        <w:rPr>
          <w:rFonts w:ascii="Times New Roman" w:cs="Times New Roman" w:eastAsia="Times New Roman" w:hAnsi="Times New Roman"/>
          <w:sz w:val="24"/>
          <w:szCs w:val="24"/>
        </w:rPr>
        <w:t xml:space="preserve">All minutes of membership meetings from January 1, 2022 to the present, including the meeting at which the special assessment vote was conducted.</w:t>
      </w:r>
    </w:p>
    <w:p>
      <w:pPr>
        <w:spacing w:after="300" w:before="0" w:line="480" w:lineRule="auto"/>
        <w:jc w:val="left"/>
        <w:keepNext/>
      </w:pPr>
      <w:r>
        <w:rPr>
          <w:rFonts w:ascii="Times New Roman" w:cs="Times New Roman" w:eastAsia="Times New Roman" w:hAnsi="Times New Roman"/>
          <w:b/>
          <w:bCs/>
          <w:sz w:val="24"/>
          <w:szCs w:val="24"/>
        </w:rPr>
        <w:t xml:space="preserve">DEMAND NO. 5: </w:t>
      </w:r>
      <w:r>
        <w:rPr>
          <w:rFonts w:ascii="Times New Roman" w:cs="Times New Roman" w:eastAsia="Times New Roman" w:hAnsi="Times New Roman"/>
          <w:sz w:val="24"/>
          <w:szCs w:val="24"/>
        </w:rPr>
        <w:t xml:space="preserve">All maintenance requests, work orders, service tickets, and complaints received by the Association, the Board, or California HOA Solutions LLC from any unit owner or tenant regarding water intrusion, leaks, ceiling damage, moisture, or mold at 15516 Nordhoff Street from January 1, 2020 to the present, together with all responses thereto.</w:t>
      </w:r>
    </w:p>
    <w:p>
      <w:pPr>
        <w:spacing w:after="300" w:before="0" w:line="480" w:lineRule="auto"/>
        <w:jc w:val="left"/>
        <w:keepNext/>
      </w:pPr>
      <w:r>
        <w:rPr>
          <w:rFonts w:ascii="Times New Roman" w:cs="Times New Roman" w:eastAsia="Times New Roman" w:hAnsi="Times New Roman"/>
          <w:b/>
          <w:bCs/>
          <w:sz w:val="24"/>
          <w:szCs w:val="24"/>
        </w:rPr>
        <w:t xml:space="preserve">DEMAND NO. 6: </w:t>
      </w:r>
      <w:r>
        <w:rPr>
          <w:rFonts w:ascii="Times New Roman" w:cs="Times New Roman" w:eastAsia="Times New Roman" w:hAnsi="Times New Roman"/>
          <w:sz w:val="24"/>
          <w:szCs w:val="24"/>
        </w:rPr>
        <w:t xml:space="preserve">All inspection reports, engineering reports, roofing assessments, contractor evaluations, and condition surveys related to the roof, building envelope, water management, or structural integrity from January 1, 2015 to the present.</w:t>
      </w:r>
    </w:p>
    <w:p>
      <w:pPr>
        <w:spacing w:after="300" w:before="0" w:line="480" w:lineRule="auto"/>
        <w:jc w:val="left"/>
        <w:keepNext/>
      </w:pPr>
      <w:r>
        <w:rPr>
          <w:rFonts w:ascii="Times New Roman" w:cs="Times New Roman" w:eastAsia="Times New Roman" w:hAnsi="Times New Roman"/>
          <w:b/>
          <w:bCs/>
          <w:sz w:val="24"/>
          <w:szCs w:val="24"/>
        </w:rPr>
        <w:t xml:space="preserve">DEMAND NO. 7: </w:t>
      </w:r>
      <w:r>
        <w:rPr>
          <w:rFonts w:ascii="Times New Roman" w:cs="Times New Roman" w:eastAsia="Times New Roman" w:hAnsi="Times New Roman"/>
          <w:sz w:val="24"/>
          <w:szCs w:val="24"/>
        </w:rPr>
        <w:t xml:space="preserve">All bids, proposals, estimates, and contracts for roof repair or replacement obtained at any time.</w:t>
      </w:r>
    </w:p>
    <w:p>
      <w:pPr>
        <w:spacing w:after="300" w:before="0" w:line="480" w:lineRule="auto"/>
        <w:jc w:val="left"/>
        <w:keepNext/>
      </w:pPr>
      <w:r>
        <w:rPr>
          <w:rFonts w:ascii="Times New Roman" w:cs="Times New Roman" w:eastAsia="Times New Roman" w:hAnsi="Times New Roman"/>
          <w:b/>
          <w:bCs/>
          <w:sz w:val="24"/>
          <w:szCs w:val="24"/>
        </w:rPr>
        <w:t xml:space="preserve">DEMAND NO. 8: </w:t>
      </w:r>
      <w:r>
        <w:rPr>
          <w:rFonts w:ascii="Times New Roman" w:cs="Times New Roman" w:eastAsia="Times New Roman" w:hAnsi="Times New Roman"/>
          <w:sz w:val="24"/>
          <w:szCs w:val="24"/>
        </w:rPr>
        <w:t xml:space="preserve">The complete management agreement between the Association and California HOA Solutions LLC, including all amendments, addenda, and exhibits.</w:t>
      </w:r>
    </w:p>
    <w:p>
      <w:pPr>
        <w:spacing w:after="300" w:before="0" w:line="480" w:lineRule="auto"/>
        <w:jc w:val="left"/>
        <w:keepNext/>
      </w:pPr>
      <w:r>
        <w:rPr>
          <w:rFonts w:ascii="Times New Roman" w:cs="Times New Roman" w:eastAsia="Times New Roman" w:hAnsi="Times New Roman"/>
          <w:b/>
          <w:bCs/>
          <w:sz w:val="24"/>
          <w:szCs w:val="24"/>
        </w:rPr>
        <w:t xml:space="preserve">DEMAND NO. 9: </w:t>
      </w:r>
      <w:r>
        <w:rPr>
          <w:rFonts w:ascii="Times New Roman" w:cs="Times New Roman" w:eastAsia="Times New Roman" w:hAnsi="Times New Roman"/>
          <w:sz w:val="24"/>
          <w:szCs w:val="24"/>
        </w:rPr>
        <w:t xml:space="preserve">The Association’s master insurance policy, including declarations page, all endorsements, exclusions, and complete terms and conditions.</w:t>
      </w:r>
    </w:p>
    <w:p>
      <w:pPr>
        <w:spacing w:after="300" w:before="0" w:line="480" w:lineRule="auto"/>
        <w:jc w:val="left"/>
        <w:keepNext/>
      </w:pPr>
      <w:r>
        <w:rPr>
          <w:rFonts w:ascii="Times New Roman" w:cs="Times New Roman" w:eastAsia="Times New Roman" w:hAnsi="Times New Roman"/>
          <w:b/>
          <w:bCs/>
          <w:sz w:val="24"/>
          <w:szCs w:val="24"/>
        </w:rPr>
        <w:t xml:space="preserve">DEMAND NO. 10: </w:t>
      </w:r>
      <w:r>
        <w:rPr>
          <w:rFonts w:ascii="Times New Roman" w:cs="Times New Roman" w:eastAsia="Times New Roman" w:hAnsi="Times New Roman"/>
          <w:sz w:val="24"/>
          <w:szCs w:val="24"/>
        </w:rPr>
        <w:t xml:space="preserve">All insurance claims filed by the Association related to water damage, roof damage, wind damage, or mold, together with all adjuster reports, correspondence with insurers, claim determinations, denials, and reservations of rights.</w:t>
      </w:r>
    </w:p>
    <w:p>
      <w:pPr>
        <w:spacing w:after="300" w:before="0" w:line="480" w:lineRule="auto"/>
        <w:jc w:val="left"/>
        <w:keepNext/>
      </w:pPr>
      <w:r>
        <w:rPr>
          <w:rFonts w:ascii="Times New Roman" w:cs="Times New Roman" w:eastAsia="Times New Roman" w:hAnsi="Times New Roman"/>
          <w:b/>
          <w:bCs/>
          <w:sz w:val="24"/>
          <w:szCs w:val="24"/>
        </w:rPr>
        <w:t xml:space="preserve">DEMAND NO. 11: </w:t>
      </w:r>
      <w:r>
        <w:rPr>
          <w:rFonts w:ascii="Times New Roman" w:cs="Times New Roman" w:eastAsia="Times New Roman" w:hAnsi="Times New Roman"/>
          <w:sz w:val="24"/>
          <w:szCs w:val="24"/>
        </w:rPr>
        <w:t xml:space="preserve">The Association’s Directors &amp; Officers (D&amp;O) liability insurance policy, including declarations page and all endorsements.</w:t>
      </w:r>
    </w:p>
    <w:p>
      <w:pPr>
        <w:spacing w:after="300" w:before="0" w:line="480" w:lineRule="auto"/>
        <w:jc w:val="left"/>
        <w:keepNext/>
      </w:pPr>
      <w:r>
        <w:rPr>
          <w:rFonts w:ascii="Times New Roman" w:cs="Times New Roman" w:eastAsia="Times New Roman" w:hAnsi="Times New Roman"/>
          <w:b/>
          <w:bCs/>
          <w:sz w:val="24"/>
          <w:szCs w:val="24"/>
        </w:rPr>
        <w:t xml:space="preserve">DEMAND NO. 12: </w:t>
      </w:r>
      <w:r>
        <w:rPr>
          <w:rFonts w:ascii="Times New Roman" w:cs="Times New Roman" w:eastAsia="Times New Roman" w:hAnsi="Times New Roman"/>
          <w:sz w:val="24"/>
          <w:szCs w:val="24"/>
        </w:rPr>
        <w:t xml:space="preserve">All communications (emails, letters, text messages, memoranda, notes) between any Board member, officer of the Association, or employee/agent of California HOA Solutions LLC regarding the roof condition, water intrusion, mold, the special assessment vote, emergency assessment authority, or maintenance of common areas, from January 1, 2023 to the present.</w:t>
      </w:r>
    </w:p>
    <w:p>
      <w:pPr>
        <w:spacing w:after="300" w:before="0" w:line="480" w:lineRule="auto"/>
        <w:jc w:val="left"/>
        <w:keepNext/>
      </w:pPr>
      <w:r>
        <w:rPr>
          <w:rFonts w:ascii="Times New Roman" w:cs="Times New Roman" w:eastAsia="Times New Roman" w:hAnsi="Times New Roman"/>
          <w:b/>
          <w:bCs/>
          <w:sz w:val="24"/>
          <w:szCs w:val="24"/>
        </w:rPr>
        <w:t xml:space="preserve">DEMAND NO. 13: </w:t>
      </w:r>
      <w:r>
        <w:rPr>
          <w:rFonts w:ascii="Times New Roman" w:cs="Times New Roman" w:eastAsia="Times New Roman" w:hAnsi="Times New Roman"/>
          <w:sz w:val="24"/>
          <w:szCs w:val="24"/>
        </w:rPr>
        <w:t xml:space="preserve">All communications between the Association and/or California HOA Solutions LLC and any insurance carrier, adjuster, broker, or agent regarding the property at 15516 Nordhoff Street from January 1, 2023 to the present.</w:t>
      </w:r>
    </w:p>
    <w:p>
      <w:pPr>
        <w:spacing w:after="300" w:before="0" w:line="480" w:lineRule="auto"/>
        <w:jc w:val="left"/>
        <w:keepNext/>
      </w:pPr>
      <w:r>
        <w:rPr>
          <w:rFonts w:ascii="Times New Roman" w:cs="Times New Roman" w:eastAsia="Times New Roman" w:hAnsi="Times New Roman"/>
          <w:b/>
          <w:bCs/>
          <w:sz w:val="24"/>
          <w:szCs w:val="24"/>
        </w:rPr>
        <w:t xml:space="preserve">DEMAND NO. 14: </w:t>
      </w:r>
      <w:r>
        <w:rPr>
          <w:rFonts w:ascii="Times New Roman" w:cs="Times New Roman" w:eastAsia="Times New Roman" w:hAnsi="Times New Roman"/>
          <w:sz w:val="24"/>
          <w:szCs w:val="24"/>
        </w:rPr>
        <w:t xml:space="preserve">The Association’s Articles of Incorporation, current Bylaws, and the most recent Statement of Information filed with the California Secretary of State.</w:t>
      </w:r>
    </w:p>
    <w:p>
      <w:pPr>
        <w:spacing w:after="300" w:before="0" w:line="480" w:lineRule="auto"/>
        <w:jc w:val="left"/>
        <w:keepNext/>
      </w:pPr>
      <w:r>
        <w:rPr>
          <w:rFonts w:ascii="Times New Roman" w:cs="Times New Roman" w:eastAsia="Times New Roman" w:hAnsi="Times New Roman"/>
          <w:b/>
          <w:bCs/>
          <w:sz w:val="24"/>
          <w:szCs w:val="24"/>
        </w:rPr>
        <w:t xml:space="preserve">DEMAND NO. 15: </w:t>
      </w:r>
      <w:r>
        <w:rPr>
          <w:rFonts w:ascii="Times New Roman" w:cs="Times New Roman" w:eastAsia="Times New Roman" w:hAnsi="Times New Roman"/>
          <w:sz w:val="24"/>
          <w:szCs w:val="24"/>
        </w:rPr>
        <w:t xml:space="preserve">All ballots, proxies, voting materials, the Inspector of Elections’ report, and tabulation records from the special assessment vote in which the membership voted 20 to 9 against the roof repair assessment.</w:t>
      </w:r>
    </w:p>
    <w:p>
      <w:pPr>
        <w:spacing w:after="300" w:before="0" w:line="480" w:lineRule="auto"/>
        <w:jc w:val="left"/>
        <w:keepNext/>
      </w:pPr>
      <w:r>
        <w:rPr>
          <w:rFonts w:ascii="Times New Roman" w:cs="Times New Roman" w:eastAsia="Times New Roman" w:hAnsi="Times New Roman"/>
          <w:b/>
          <w:bCs/>
          <w:sz w:val="24"/>
          <w:szCs w:val="24"/>
        </w:rPr>
        <w:t xml:space="preserve">DEMAND NO. 16: </w:t>
      </w:r>
      <w:r>
        <w:rPr>
          <w:rFonts w:ascii="Times New Roman" w:cs="Times New Roman" w:eastAsia="Times New Roman" w:hAnsi="Times New Roman"/>
          <w:sz w:val="24"/>
          <w:szCs w:val="24"/>
        </w:rPr>
        <w:t xml:space="preserve">All financial statements, bank statements, check registers, general ledgers, and records of reserve fund deposits and withdrawals for the past three (3) years.</w:t>
      </w:r>
    </w:p>
    <w:p>
      <w:pPr>
        <w:spacing w:after="300" w:before="0" w:line="480" w:lineRule="auto"/>
        <w:jc w:val="left"/>
        <w:keepNext/>
      </w:pPr>
      <w:r>
        <w:rPr>
          <w:rFonts w:ascii="Times New Roman" w:cs="Times New Roman" w:eastAsia="Times New Roman" w:hAnsi="Times New Roman"/>
          <w:b/>
          <w:bCs/>
          <w:sz w:val="24"/>
          <w:szCs w:val="24"/>
        </w:rPr>
        <w:t xml:space="preserve">DEMAND NO. 17: </w:t>
      </w:r>
      <w:r>
        <w:rPr>
          <w:rFonts w:ascii="Times New Roman" w:cs="Times New Roman" w:eastAsia="Times New Roman" w:hAnsi="Times New Roman"/>
          <w:sz w:val="24"/>
          <w:szCs w:val="24"/>
        </w:rPr>
        <w:t xml:space="preserve">All photographs, videos, or other visual recordings of the roof, any water intrusion, ceiling damage, or mold in any unit at 15516 Nordhoff Street taken at any time by any person.</w:t>
      </w:r>
    </w:p>
    <w:p>
      <w:pPr>
        <w:spacing w:after="300" w:before="0" w:line="480" w:lineRule="auto"/>
        <w:jc w:val="left"/>
        <w:keepNext/>
      </w:pPr>
      <w:r>
        <w:rPr>
          <w:rFonts w:ascii="Times New Roman" w:cs="Times New Roman" w:eastAsia="Times New Roman" w:hAnsi="Times New Roman"/>
          <w:b/>
          <w:bCs/>
          <w:sz w:val="24"/>
          <w:szCs w:val="24"/>
        </w:rPr>
        <w:t xml:space="preserve">DEMAND NO. 18: </w:t>
      </w:r>
      <w:r>
        <w:rPr>
          <w:rFonts w:ascii="Times New Roman" w:cs="Times New Roman" w:eastAsia="Times New Roman" w:hAnsi="Times New Roman"/>
          <w:sz w:val="24"/>
          <w:szCs w:val="24"/>
        </w:rPr>
        <w:t xml:space="preserve">All contracts, agreements, or correspondence between California HOA Solutions LLC and any roofing company, contractor, mold remediation company, or environmental testing company regarding the property.</w:t>
      </w:r>
    </w:p>
    <w:p>
      <w:pPr>
        <w:spacing w:after="300" w:before="0" w:line="480" w:lineRule="auto"/>
        <w:jc w:val="left"/>
        <w:keepNext/>
      </w:pPr>
      <w:r>
        <w:rPr>
          <w:rFonts w:ascii="Times New Roman" w:cs="Times New Roman" w:eastAsia="Times New Roman" w:hAnsi="Times New Roman"/>
          <w:b/>
          <w:bCs/>
          <w:sz w:val="24"/>
          <w:szCs w:val="24"/>
        </w:rPr>
        <w:t xml:space="preserve">DEMAND NO. 19: </w:t>
      </w:r>
      <w:r>
        <w:rPr>
          <w:rFonts w:ascii="Times New Roman" w:cs="Times New Roman" w:eastAsia="Times New Roman" w:hAnsi="Times New Roman"/>
          <w:sz w:val="24"/>
          <w:szCs w:val="24"/>
        </w:rPr>
        <w:t xml:space="preserve">All internal communications within California HOA Solutions LLC (including emails, Slack messages, CRM notes, ticketing system entries, and internal memoranda) regarding the property at 15516 Nordhoff Street, the Uniappartment Homeowners Association, or any maintenance request from any unit owner.</w:t>
      </w:r>
    </w:p>
    <w:p>
      <w:pPr>
        <w:spacing w:after="300" w:before="0" w:line="480" w:lineRule="auto"/>
        <w:jc w:val="left"/>
        <w:keepNext/>
      </w:pPr>
      <w:r>
        <w:rPr>
          <w:rFonts w:ascii="Times New Roman" w:cs="Times New Roman" w:eastAsia="Times New Roman" w:hAnsi="Times New Roman"/>
          <w:b/>
          <w:bCs/>
          <w:sz w:val="24"/>
          <w:szCs w:val="24"/>
        </w:rPr>
        <w:t xml:space="preserve">DEMAND NO. 20: </w:t>
      </w:r>
      <w:r>
        <w:rPr>
          <w:rFonts w:ascii="Times New Roman" w:cs="Times New Roman" w:eastAsia="Times New Roman" w:hAnsi="Times New Roman"/>
          <w:sz w:val="24"/>
          <w:szCs w:val="24"/>
        </w:rPr>
        <w:t xml:space="preserve">All documents reflecting the Association’s decision-making process regarding whether to levy an emergency assessment under Civil Code § 5610(b) after the failed membership vote, including but not limited to Board discussions, legal opinions, and management company recommendations.</w:t>
      </w: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
      </w:r>
    </w:p>
    <w:p>
      <w:pPr>
        <w:pBdr>
          <w:bottom w:val="single" w:color="000000" w:sz="6" w:space="1"/>
        </w:pBdr>
        <w:spacing w:after="300" w:line="480" w:lineRule="auto"/>
      </w:pPr>
    </w:p>
    <w:p>
      <w:pPr>
        <w:spacing w:after="400" w:before="0" w:line="480" w:lineRule="auto"/>
        <w:jc w:val="left"/>
      </w:pPr>
      <w:r>
        <w:rPr>
          <w:rFonts w:ascii="Times New Roman" w:cs="Times New Roman" w:eastAsia="Times New Roman" w:hAnsi="Times New Roman"/>
          <w:b w:val="false"/>
          <w:bCs w:val="false"/>
          <w:i w:val="false"/>
          <w:iCs w:val="false"/>
          <w:sz w:val="24"/>
          <w:szCs w:val="24"/>
        </w:rPr>
        <w:t xml:space="preserve">Dated: _____________, 2026</w:t>
      </w:r>
    </w:p>
    <w:p>
      <w:pPr>
        <w:spacing w:after="60" w:before="0" w:line="480" w:lineRule="auto"/>
        <w:jc w:val="left"/>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200" w:before="0" w:line="480" w:lineRule="auto"/>
        <w:jc w:val="left"/>
        <w:keepNext/>
      </w:pPr>
      <w:r>
        <w:rPr>
          <w:rFonts w:ascii="Times New Roman" w:cs="Times New Roman" w:eastAsia="Times New Roman" w:hAnsi="Times New Roman"/>
          <w:b/>
          <w:bCs/>
          <w:i w:val="false"/>
          <w:iCs w:val="false"/>
          <w:sz w:val="24"/>
          <w:szCs w:val="24"/>
        </w:rPr>
        <w:t xml:space="preserve">Jose Segura, Plaintiff, In Pro Per</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PLAINTIFF’S FIRST SET OF DEMANDS FOR PRODUCTION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2026-03-22T22:31:31.575Z</dcterms:created>
  <dcterms:modified xsi:type="dcterms:W3CDTF">2026-03-22T22:31:31.575Z</dcterms:modified>
</cp:coreProperties>
</file>

<file path=docProps/custom.xml><?xml version="1.0" encoding="utf-8"?>
<Properties xmlns="http://schemas.openxmlformats.org/officeDocument/2006/custom-properties" xmlns:vt="http://schemas.openxmlformats.org/officeDocument/2006/docPropsVTypes"/>
</file>