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line="276" w:lineRule="auto"/>
        <w:jc w:val="center"/>
        <w:keepNext/>
      </w:pPr>
      <w:r>
        <w:rPr>
          <w:rFonts w:ascii="Times New Roman" w:cs="Times New Roman" w:eastAsia="Times New Roman" w:hAnsi="Times New Roman"/>
          <w:b/>
          <w:bCs/>
          <w:i w:val="false"/>
          <w:iCs w:val="false"/>
          <w:sz w:val="32"/>
          <w:szCs w:val="32"/>
        </w:rPr>
        <w:t xml:space="preserve">MEDIA PITCH / PRESS INQUIRY</w:t>
      </w:r>
    </w:p>
    <w:p>
      <w:pPr>
        <w:spacing w:after="400" w:before="0" w:line="276" w:lineRule="auto"/>
        <w:jc w:val="center"/>
        <w:keepNext/>
      </w:pPr>
      <w:r>
        <w:rPr>
          <w:rFonts w:ascii="Times New Roman" w:cs="Times New Roman" w:eastAsia="Times New Roman" w:hAnsi="Times New Roman"/>
          <w:b/>
          <w:bCs/>
          <w:i w:val="false"/>
          <w:iCs w:val="false"/>
          <w:sz w:val="20"/>
          <w:szCs w:val="20"/>
        </w:rPr>
        <w:t xml:space="preserve">CONFIDENTIAL — FOR JOURNALIST REVIEW</w:t>
      </w:r>
    </w:p>
    <w:p>
      <w:pPr>
        <w:pBdr>
          <w:bottom w:val="single" w:color="000000" w:sz="6" w:space="1"/>
        </w:pBdr>
        <w:spacing w:after="300" w:line="276" w:lineRule="auto"/>
      </w:pPr>
    </w:p>
    <w:p>
      <w:pPr>
        <w:spacing w:after="300" w:before="0" w:line="276" w:lineRule="auto"/>
        <w:jc w:val="left"/>
        <w:keepNext/>
      </w:pPr>
      <w:r>
        <w:rPr>
          <w:rFonts w:ascii="Times New Roman" w:cs="Times New Roman" w:eastAsia="Times New Roman" w:hAnsi="Times New Roman"/>
          <w:b/>
          <w:bCs/>
          <w:sz w:val="24"/>
          <w:szCs w:val="24"/>
        </w:rPr>
        <w:t xml:space="preserve">HEADLINE: </w:t>
      </w:r>
      <w:r>
        <w:rPr>
          <w:rFonts w:ascii="Times New Roman" w:cs="Times New Roman" w:eastAsia="Times New Roman" w:hAnsi="Times New Roman"/>
          <w:sz w:val="24"/>
          <w:szCs w:val="24"/>
        </w:rPr>
        <w:t xml:space="preserve">“20 Neighbors Vote to Leave 9 Families Living Under a Moldy Roof — California Law Says the HOA Must Fix It Anyway”</w:t>
      </w:r>
    </w:p>
    <w:p>
      <w:pPr>
        <w:spacing w:after="120" w:before="0" w:line="276" w:lineRule="auto"/>
        <w:jc w:val="left"/>
        <w:keepNext/>
      </w:pPr>
      <w:r>
        <w:rPr>
          <w:rFonts w:ascii="Times New Roman" w:cs="Times New Roman" w:eastAsia="Times New Roman" w:hAnsi="Times New Roman"/>
          <w:b/>
          <w:bCs/>
          <w:sz w:val="24"/>
          <w:szCs w:val="24"/>
        </w:rPr>
        <w:t xml:space="preserve">SUMMARY:</w:t>
      </w:r>
    </w:p>
    <w:p>
      <w:pPr>
        <w:spacing w:after="200" w:before="0" w:line="276" w:lineRule="auto"/>
        <w:jc w:val="left"/>
      </w:pPr>
      <w:r>
        <w:rPr>
          <w:rFonts w:ascii="Times New Roman" w:cs="Times New Roman" w:eastAsia="Times New Roman" w:hAnsi="Times New Roman"/>
          <w:b w:val="false"/>
          <w:bCs w:val="false"/>
          <w:i w:val="false"/>
          <w:iCs w:val="false"/>
          <w:sz w:val="24"/>
          <w:szCs w:val="24"/>
        </w:rPr>
        <w:t>Nine families in a 29-unit North Hills condominium complex are living with a leaking roof that has caused confirmed mold contamination at three times outdoor levels — and their HOA refuses to fix it because the 20 unaffected owners outvoted them. A California law that took effect in 2025 gives the HOA board the power to bypass the vote entirely for health emergencies like mold. The board has chosen not to use it. A California appeals court just awarded $1.8 million to a homeowner in an almost identical situation.</w:t>
      </w:r>
    </w:p>
    <w:p>
      <w:pPr>
        <w:spacing w:after="120" w:before="0" w:line="276" w:lineRule="auto"/>
        <w:jc w:val="left"/>
        <w:keepNext/>
      </w:pPr>
      <w:r>
        <w:rPr>
          <w:rFonts w:ascii="Times New Roman" w:cs="Times New Roman" w:eastAsia="Times New Roman" w:hAnsi="Times New Roman"/>
          <w:b/>
          <w:bCs/>
          <w:sz w:val="24"/>
          <w:szCs w:val="24"/>
        </w:rPr>
        <w:t xml:space="preserve">THE STORY:</w:t>
      </w:r>
    </w:p>
    <w:p>
      <w:pPr>
        <w:spacing w:after="200" w:before="0" w:line="276" w:lineRule="auto"/>
        <w:jc w:val="left"/>
      </w:pPr>
      <w:r>
        <w:rPr>
          <w:rFonts w:ascii="Times New Roman" w:cs="Times New Roman" w:eastAsia="Times New Roman" w:hAnsi="Times New Roman"/>
          <w:b w:val="false"/>
          <w:bCs w:val="false"/>
          <w:i w:val="false"/>
          <w:iCs w:val="false"/>
          <w:sz w:val="24"/>
          <w:szCs w:val="24"/>
        </w:rPr>
        <w:t xml:space="preserve">Jose Segura, owner of Unit 208 at 15516 Nordhoff Street in North Hills, hired an accredited laboratory to test his air quality after noticing ceiling damage and a musty smell. The April 2025 results confirmed Aspergillus/Penicillium mold spores at 790 count/m³ indoors — three times the outdoor level of 260 count/m³. A ceiling swab tested positive for Alternaria, a mold species the CDC links to severe asthma attacks. His tenant moved out. He’s bleeding mortgage payments with no income.</w:t>
      </w:r>
    </w:p>
    <w:p>
      <w:pPr>
        <w:spacing w:after="200" w:before="0" w:line="276" w:lineRule="auto"/>
        <w:jc w:val="left"/>
      </w:pPr>
      <w:r>
        <w:rPr>
          <w:rFonts w:ascii="Times New Roman" w:cs="Times New Roman" w:eastAsia="Times New Roman" w:hAnsi="Times New Roman"/>
          <w:b w:val="false"/>
          <w:bCs w:val="false"/>
          <w:i w:val="false"/>
          <w:iCs w:val="false"/>
          <w:sz w:val="24"/>
          <w:szCs w:val="24"/>
        </w:rPr>
        <w:t xml:space="preserve">A licensed remediation company estimated the cleanup at $17,243 — but said the work can’t even start until the roof is fixed. The roof is the HOA’s responsibility under both California law and the community’s own governing documents. When the HOA proposed a special assessment to fund the repair, the 20 owners whose units aren’t affected voted it down 20-9.</w:t>
      </w:r>
    </w:p>
    <w:p>
      <w:pPr>
        <w:spacing w:after="200" w:before="0" w:line="276" w:lineRule="auto"/>
        <w:jc w:val="left"/>
        <w:keepNext/>
      </w:pPr>
      <w:r>
        <w:rPr>
          <w:rFonts w:ascii="Times New Roman" w:cs="Times New Roman" w:eastAsia="Times New Roman" w:hAnsi="Times New Roman"/>
          <w:sz w:val="24"/>
          <w:szCs w:val="24"/>
        </w:rPr>
        <w:t xml:space="preserve">Here’s where it gets interesting: on January 1, 2025, California Senate Bill 900 took effect, expanding the HOA board’s emergency assessment power to cover threats to personal </w:t>
      </w:r>
      <w:r>
        <w:rPr>
          <w:rFonts w:ascii="Times New Roman" w:cs="Times New Roman" w:eastAsia="Times New Roman" w:hAnsi="Times New Roman"/>
          <w:b/>
          <w:bCs/>
          <w:sz w:val="24"/>
          <w:szCs w:val="24"/>
        </w:rPr>
        <w:t xml:space="preserve">“health or safety or another hazardous condition.”</w:t>
      </w:r>
      <w:r>
        <w:rPr>
          <w:rFonts w:ascii="Times New Roman" w:cs="Times New Roman" w:eastAsia="Times New Roman" w:hAnsi="Times New Roman"/>
          <w:sz w:val="24"/>
          <w:szCs w:val="24"/>
        </w:rPr>
        <w:t xml:space="preserve"> The board can levy the assessment without any vote at all. It has chosen not to.</w:t>
      </w:r>
    </w:p>
    <w:p>
      <w:pPr>
        <w:spacing w:after="200" w:before="0" w:line="276" w:lineRule="auto"/>
        <w:jc w:val="left"/>
      </w:pPr>
      <w:r>
        <w:rPr>
          <w:rFonts w:ascii="Times New Roman" w:cs="Times New Roman" w:eastAsia="Times New Roman" w:hAnsi="Times New Roman"/>
          <w:b w:val="false"/>
          <w:bCs w:val="false"/>
          <w:i w:val="false"/>
          <w:iCs w:val="false"/>
          <w:sz w:val="24"/>
          <w:szCs w:val="24"/>
        </w:rPr>
        <w:t xml:space="preserve">Segura sent a written maintenance request to the property management company (California HOA Solutions, which carries a BBB “F” rating) on October 14, 2025, telling them the mold was “becoming a health hazard.” No one responded.</w:t>
      </w:r>
    </w:p>
    <w:p>
      <w:pPr>
        <w:spacing w:after="120" w:before="0" w:line="276" w:lineRule="auto"/>
        <w:jc w:val="left"/>
        <w:keepNext/>
      </w:pPr>
      <w:r>
        <w:rPr>
          <w:rFonts w:ascii="Times New Roman" w:cs="Times New Roman" w:eastAsia="Times New Roman" w:hAnsi="Times New Roman"/>
          <w:b/>
          <w:bCs/>
          <w:sz w:val="24"/>
          <w:szCs w:val="24"/>
        </w:rPr>
        <w:t xml:space="preserve">WHY THIS MATTERS:</w:t>
      </w:r>
    </w:p>
    <w:p>
      <w:pPr>
        <w:spacing w:after="200" w:before="0" w:line="276" w:lineRule="auto"/>
        <w:jc w:val="left"/>
      </w:pPr>
      <w:r>
        <w:rPr>
          <w:rFonts w:ascii="Times New Roman" w:cs="Times New Roman" w:eastAsia="Times New Roman" w:hAnsi="Times New Roman"/>
          <w:b w:val="false"/>
          <w:bCs w:val="false"/>
          <w:i w:val="false"/>
          <w:iCs w:val="false"/>
          <w:sz w:val="24"/>
          <w:szCs w:val="24"/>
        </w:rPr>
        <w:t xml:space="preserve">This story touches several hot-button issues: HOA power imbalances (majority rule vs. minority protection), housing safety, mold health hazards, and a new California law designed to prevent exactly this situation. It’s also a David-vs-Goliath story — one homeowner taking on an entire HOA board that won’t act.</w:t>
      </w:r>
    </w:p>
    <w:p>
      <w:pPr>
        <w:spacing w:after="200" w:before="0" w:line="276" w:lineRule="auto"/>
        <w:jc w:val="left"/>
      </w:pPr>
      <w:r>
        <w:rPr>
          <w:rFonts w:ascii="Times New Roman" w:cs="Times New Roman" w:eastAsia="Times New Roman" w:hAnsi="Times New Roman"/>
          <w:b w:val="false"/>
          <w:bCs w:val="false"/>
          <w:i w:val="false"/>
          <w:iCs w:val="false"/>
          <w:sz w:val="24"/>
          <w:szCs w:val="24"/>
        </w:rPr>
        <w:t xml:space="preserve">The legal backdrop is significant. In 2025, a California appeals court affirmed a $1.8 million judgment against an HOA that delayed mold repairs for 19 months (Ridley v. Rancho Palma Grande HOA), including punitive damages against the board president personally. Segura’s case has the same ingredients.</w:t>
      </w:r>
    </w:p>
    <w:p>
      <w:pPr>
        <w:spacing w:after="120" w:before="0" w:line="276" w:lineRule="auto"/>
        <w:jc w:val="left"/>
        <w:keepNext/>
      </w:pPr>
      <w:r>
        <w:rPr>
          <w:rFonts w:ascii="Times New Roman" w:cs="Times New Roman" w:eastAsia="Times New Roman" w:hAnsi="Times New Roman"/>
          <w:b/>
          <w:bCs/>
          <w:sz w:val="24"/>
          <w:szCs w:val="24"/>
        </w:rPr>
        <w:t xml:space="preserve">AVAILABLE FOR INTERVIEW:</w:t>
      </w:r>
    </w:p>
    <w:p>
      <w:pPr>
        <w:spacing w:after="200" w:before="0" w:line="276" w:lineRule="auto"/>
        <w:ind w:left="720"/>
        <w:jc w:val="left"/>
      </w:pPr>
      <w:r>
        <w:rPr>
          <w:rFonts w:ascii="Times New Roman" w:cs="Times New Roman" w:eastAsia="Times New Roman" w:hAnsi="Times New Roman"/>
          <w:b w:val="false"/>
          <w:bCs w:val="false"/>
          <w:i w:val="false"/>
          <w:iCs w:val="false"/>
          <w:sz w:val="24"/>
          <w:szCs w:val="24"/>
        </w:rPr>
        <w:t xml:space="preserve">Jose Segura (unit owner / affected homeowner)</w:t>
      </w:r>
    </w:p>
    <w:p>
      <w:pPr>
        <w:spacing w:after="200" w:before="0" w:line="276" w:lineRule="auto"/>
        <w:ind w:left="720"/>
        <w:jc w:val="left"/>
      </w:pPr>
      <w:r>
        <w:rPr>
          <w:rFonts w:ascii="Times New Roman" w:cs="Times New Roman" w:eastAsia="Times New Roman" w:hAnsi="Times New Roman"/>
          <w:b w:val="false"/>
          <w:bCs w:val="false"/>
          <w:i w:val="false"/>
          <w:iCs w:val="false"/>
          <w:sz w:val="24"/>
          <w:szCs w:val="24"/>
        </w:rPr>
        <w:t xml:space="preserve">Vince Caruso (legal consultant assisting Segura)</w:t>
      </w:r>
    </w:p>
    <w:p>
      <w:pPr>
        <w:spacing w:after="300" w:before="0" w:line="276" w:lineRule="auto"/>
        <w:ind w:left="720"/>
        <w:jc w:val="left"/>
      </w:pPr>
      <w:r>
        <w:rPr>
          <w:rFonts w:ascii="Times New Roman" w:cs="Times New Roman" w:eastAsia="Times New Roman" w:hAnsi="Times New Roman"/>
          <w:b w:val="false"/>
          <w:bCs w:val="false"/>
          <w:i w:val="false"/>
          <w:iCs w:val="false"/>
          <w:sz w:val="24"/>
          <w:szCs w:val="24"/>
        </w:rPr>
        <w:t xml:space="preserve">Other affected unit owners (upon request)</w:t>
      </w:r>
    </w:p>
    <w:p>
      <w:pPr>
        <w:spacing w:after="120" w:before="0" w:line="276" w:lineRule="auto"/>
        <w:jc w:val="left"/>
        <w:keepNext/>
      </w:pPr>
      <w:r>
        <w:rPr>
          <w:rFonts w:ascii="Times New Roman" w:cs="Times New Roman" w:eastAsia="Times New Roman" w:hAnsi="Times New Roman"/>
          <w:b/>
          <w:bCs/>
          <w:sz w:val="24"/>
          <w:szCs w:val="24"/>
        </w:rPr>
        <w:t xml:space="preserve">DOCUMENTARY EVIDENCE AVAILABLE:</w:t>
      </w:r>
    </w:p>
    <w:p>
      <w:pPr>
        <w:spacing w:after="200" w:before="0" w:line="276" w:lineRule="auto"/>
        <w:ind w:left="720"/>
        <w:jc w:val="left"/>
      </w:pPr>
      <w:r>
        <w:rPr>
          <w:rFonts w:ascii="Times New Roman" w:cs="Times New Roman" w:eastAsia="Times New Roman" w:hAnsi="Times New Roman"/>
          <w:b w:val="false"/>
          <w:bCs w:val="false"/>
          <w:i w:val="false"/>
          <w:iCs w:val="false"/>
          <w:sz w:val="24"/>
          <w:szCs w:val="24"/>
        </w:rPr>
        <w:t xml:space="preserve">Laboratory air quality test report (accredited lab, April 2025)</w:t>
      </w:r>
    </w:p>
    <w:p>
      <w:pPr>
        <w:spacing w:after="200" w:before="0" w:line="276" w:lineRule="auto"/>
        <w:ind w:left="720"/>
        <w:jc w:val="left"/>
      </w:pPr>
      <w:r>
        <w:rPr>
          <w:rFonts w:ascii="Times New Roman" w:cs="Times New Roman" w:eastAsia="Times New Roman" w:hAnsi="Times New Roman"/>
          <w:b w:val="false"/>
          <w:bCs w:val="false"/>
          <w:i w:val="false"/>
          <w:iCs w:val="false"/>
          <w:sz w:val="24"/>
          <w:szCs w:val="24"/>
        </w:rPr>
        <w:t xml:space="preserve">Professional mold remediation estimate ($17,243.53)</w:t>
      </w:r>
    </w:p>
    <w:p>
      <w:pPr>
        <w:spacing w:after="200" w:before="0" w:line="276" w:lineRule="auto"/>
        <w:ind w:left="720"/>
        <w:jc w:val="left"/>
      </w:pPr>
      <w:r>
        <w:rPr>
          <w:rFonts w:ascii="Times New Roman" w:cs="Times New Roman" w:eastAsia="Times New Roman" w:hAnsi="Times New Roman"/>
          <w:b w:val="false"/>
          <w:bCs w:val="false"/>
          <w:i w:val="false"/>
          <w:iCs w:val="false"/>
          <w:sz w:val="24"/>
          <w:szCs w:val="24"/>
        </w:rPr>
        <w:t xml:space="preserve">Photographs of ceiling damage and visible mold</w:t>
      </w:r>
    </w:p>
    <w:p>
      <w:pPr>
        <w:spacing w:after="200" w:before="0" w:line="276" w:lineRule="auto"/>
        <w:ind w:left="720"/>
        <w:jc w:val="left"/>
      </w:pPr>
      <w:r>
        <w:rPr>
          <w:rFonts w:ascii="Times New Roman" w:cs="Times New Roman" w:eastAsia="Times New Roman" w:hAnsi="Times New Roman"/>
          <w:b w:val="false"/>
          <w:bCs w:val="false"/>
          <w:i w:val="false"/>
          <w:iCs w:val="false"/>
          <w:sz w:val="24"/>
          <w:szCs w:val="24"/>
        </w:rPr>
        <w:t xml:space="preserve">October 14, 2025 maintenance request (no response received)</w:t>
      </w:r>
    </w:p>
    <w:p>
      <w:pPr>
        <w:spacing w:after="200" w:before="0" w:line="276" w:lineRule="auto"/>
        <w:ind w:left="720"/>
        <w:jc w:val="left"/>
      </w:pPr>
      <w:r>
        <w:rPr>
          <w:rFonts w:ascii="Times New Roman" w:cs="Times New Roman" w:eastAsia="Times New Roman" w:hAnsi="Times New Roman"/>
          <w:b w:val="false"/>
          <w:bCs w:val="false"/>
          <w:i w:val="false"/>
          <w:iCs w:val="false"/>
          <w:sz w:val="24"/>
          <w:szCs w:val="24"/>
        </w:rPr>
        <w:t xml:space="preserve">CC&amp;Rs confirming HOA’s mandatory roof maintenance duty</w:t>
      </w:r>
    </w:p>
    <w:p>
      <w:pPr>
        <w:spacing w:after="300" w:before="0" w:line="276" w:lineRule="auto"/>
        <w:ind w:left="720"/>
        <w:jc w:val="left"/>
      </w:pPr>
      <w:r>
        <w:rPr>
          <w:rFonts w:ascii="Times New Roman" w:cs="Times New Roman" w:eastAsia="Times New Roman" w:hAnsi="Times New Roman"/>
          <w:b w:val="false"/>
          <w:bCs w:val="false"/>
          <w:i w:val="false"/>
          <w:iCs w:val="false"/>
          <w:sz w:val="24"/>
          <w:szCs w:val="24"/>
        </w:rPr>
        <w:t xml:space="preserve">The 20-9 vote record (to be obtained through records demand)</w:t>
      </w:r>
    </w:p>
    <w:p>
      <w:pPr>
        <w:spacing w:after="120" w:before="0" w:line="276" w:lineRule="auto"/>
        <w:jc w:val="left"/>
        <w:keepNext/>
      </w:pPr>
      <w:r>
        <w:rPr>
          <w:rFonts w:ascii="Times New Roman" w:cs="Times New Roman" w:eastAsia="Times New Roman" w:hAnsi="Times New Roman"/>
          <w:b/>
          <w:bCs/>
          <w:sz w:val="24"/>
          <w:szCs w:val="24"/>
        </w:rPr>
        <w:t xml:space="preserve">MEDIA CONTACT:</w:t>
      </w:r>
    </w:p>
    <w:p>
      <w:pPr>
        <w:spacing w:after="200" w:before="0" w:line="276" w:lineRule="auto"/>
        <w:ind w:left="720"/>
        <w:jc w:val="left"/>
      </w:pPr>
      <w:r>
        <w:rPr>
          <w:rFonts w:ascii="Times New Roman" w:cs="Times New Roman" w:eastAsia="Times New Roman" w:hAnsi="Times New Roman"/>
          <w:b w:val="false"/>
          <w:bCs w:val="false"/>
          <w:i w:val="false"/>
          <w:iCs w:val="false"/>
          <w:sz w:val="24"/>
          <w:szCs w:val="24"/>
        </w:rPr>
        <w:t xml:space="preserve">Vince Caruso</w:t>
      </w:r>
    </w:p>
    <w:p>
      <w:pPr>
        <w:spacing w:after="200" w:before="0" w:line="276" w:lineRule="auto"/>
        <w:ind w:left="720"/>
        <w:jc w:val="left"/>
      </w:pPr>
      <w:r>
        <w:rPr>
          <w:rFonts w:ascii="Times New Roman" w:cs="Times New Roman" w:eastAsia="Times New Roman" w:hAnsi="Times New Roman"/>
          <w:b w:val="false"/>
          <w:bCs w:val="false"/>
          <w:i w:val="false"/>
          <w:iCs w:val="false"/>
          <w:sz w:val="24"/>
          <w:szCs w:val="24"/>
        </w:rPr>
        <w:t xml:space="preserve">Email: vpcaruso@gmail.com</w:t>
      </w:r>
    </w:p>
    <w:p>
      <w:pPr>
        <w:spacing w:after="300" w:before="0" w:line="276" w:lineRule="auto"/>
        <w:ind w:left="720"/>
        <w:jc w:val="left"/>
      </w:pPr>
      <w:r>
        <w:rPr>
          <w:rFonts w:ascii="Times New Roman" w:cs="Times New Roman" w:eastAsia="Times New Roman" w:hAnsi="Times New Roman"/>
          <w:b w:val="false"/>
          <w:bCs w:val="false"/>
          <w:i w:val="false"/>
          <w:iCs w:val="false"/>
          <w:sz w:val="24"/>
          <w:szCs w:val="24"/>
        </w:rPr>
        <w:t xml:space="preserve">Phone: [VINCE TO INSERT]</w:t>
      </w:r>
    </w:p>
    <w:p>
      <w:pPr>
        <w:spacing w:after="200" w:before="0" w:line="276" w:lineRule="auto"/>
        <w:jc w:val="left"/>
      </w:pPr>
      <w:r>
        <w:rPr>
          <w:rFonts w:ascii="Times New Roman" w:cs="Times New Roman" w:eastAsia="Times New Roman" w:hAnsi="Times New Roman"/>
          <w:i/>
          <w:iCs/>
          <w:sz w:val="20"/>
          <w:szCs w:val="20"/>
        </w:rPr>
        <w:t xml:space="preserve">Note: A formal demand letter has been served on the HOA. If the HOA does not respond within 15 days, a lawsuit will be filed in Los Angeles County Superior Court. Media coverage of this story would be most impactful during the 15-day demand window or immediately upon filing.</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jc w:val="center"/>
    </w:pPr>
    <w:r>
      <w:rPr>
        <w:rFonts w:ascii="Times New Roman" w:cs="Times New Roman" w:eastAsia="Times New Roman" w:hAnsi="Times New Roman"/>
        <w:sz w:val="20"/>
        <w:szCs w:val="20"/>
      </w:rPr>
      <w:t xml:space="preserve">Page </w:t>
    </w:r>
    <w:r>
      <w:rPr>
        <w:rFonts w:ascii="Times New Roman" w:cs="Times New Roman" w:eastAsia="Times New Roman" w:hAnsi="Times New Roman"/>
        <w:sz w:val="20"/>
        <w:szCs w:val="20"/>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jc w:val="center"/>
    </w:pPr>
    <w:r>
      <w:rPr>
        <w:rFonts w:ascii="Times New Roman" w:cs="Times New Roman" w:eastAsia="Times New Roman" w:hAnsi="Times New Roman"/>
        <w:i/>
        <w:iCs/>
        <w:sz w:val="20"/>
        <w:szCs w:val="20"/>
      </w:rPr>
      <w:t xml:space="preserve">MEDIA PITCH — 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2026-03-22T22:40:50.304Z</dcterms:created>
  <dcterms:modified xsi:type="dcterms:W3CDTF">2026-03-22T22:40:50.304Z</dcterms:modified>
</cp:coreProperties>
</file>

<file path=docProps/custom.xml><?xml version="1.0" encoding="utf-8"?>
<Properties xmlns="http://schemas.openxmlformats.org/officeDocument/2006/custom-properties" xmlns:vt="http://schemas.openxmlformats.org/officeDocument/2006/docPropsVTypes"/>
</file>